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bottom w:val="single" w:sz="12" w:space="0" w:color="F7941D"/>
        </w:tblBorders>
        <w:tblLayout w:type="fixed"/>
        <w:tblCellMar>
          <w:left w:w="28" w:type="dxa"/>
          <w:right w:w="28" w:type="dxa"/>
        </w:tblCellMar>
        <w:tblLook w:val="0000" w:firstRow="0" w:lastRow="0" w:firstColumn="0" w:lastColumn="0" w:noHBand="0" w:noVBand="0"/>
      </w:tblPr>
      <w:tblGrid>
        <w:gridCol w:w="5655"/>
        <w:gridCol w:w="2544"/>
        <w:gridCol w:w="1440"/>
      </w:tblGrid>
      <w:tr w:rsidR="00F16C11" w:rsidRPr="00E30DC2" w14:paraId="737EA5EC" w14:textId="77777777" w:rsidTr="00FC43E0">
        <w:trPr>
          <w:cantSplit/>
          <w:trHeight w:hRule="exact" w:val="334"/>
        </w:trPr>
        <w:tc>
          <w:tcPr>
            <w:tcW w:w="8199" w:type="dxa"/>
            <w:gridSpan w:val="2"/>
            <w:tcBorders>
              <w:bottom w:val="nil"/>
            </w:tcBorders>
            <w:shd w:val="clear" w:color="auto" w:fill="D9D9D9"/>
            <w:vAlign w:val="center"/>
          </w:tcPr>
          <w:p w14:paraId="57A4A1E4" w14:textId="1963239E" w:rsidR="00F16C11" w:rsidRPr="00B5537A" w:rsidRDefault="007B384A" w:rsidP="00C563B3">
            <w:pPr>
              <w:pStyle w:val="Nadpis1"/>
              <w:numPr>
                <w:ilvl w:val="0"/>
                <w:numId w:val="0"/>
              </w:numPr>
            </w:pPr>
            <w:r w:rsidRPr="007B384A">
              <w:t xml:space="preserve">Všeobecné podmínky IMS DIRS </w:t>
            </w:r>
            <w:r w:rsidRPr="007B384A">
              <w:rPr>
                <w:caps w:val="0"/>
              </w:rPr>
              <w:t>Brno s.r.o.</w:t>
            </w:r>
          </w:p>
        </w:tc>
        <w:tc>
          <w:tcPr>
            <w:tcW w:w="1440" w:type="dxa"/>
            <w:tcBorders>
              <w:bottom w:val="nil"/>
            </w:tcBorders>
            <w:shd w:val="clear" w:color="auto" w:fill="D9D9D9"/>
            <w:vAlign w:val="center"/>
          </w:tcPr>
          <w:p w14:paraId="61E39958" w14:textId="79C3E26B" w:rsidR="00F16C11" w:rsidRPr="00B5537A" w:rsidRDefault="00F16C11" w:rsidP="00C563B3">
            <w:pPr>
              <w:pStyle w:val="text"/>
              <w:jc w:val="right"/>
              <w:rPr>
                <w:sz w:val="22"/>
              </w:rPr>
            </w:pPr>
            <w:r>
              <w:t>F/v0</w:t>
            </w:r>
            <w:r w:rsidR="00235D37">
              <w:t>0</w:t>
            </w:r>
          </w:p>
        </w:tc>
      </w:tr>
      <w:tr w:rsidR="00F16C11" w:rsidRPr="00E30DC2" w14:paraId="55A9B0C7" w14:textId="77777777" w:rsidTr="00185D9E">
        <w:trPr>
          <w:cantSplit/>
          <w:trHeight w:hRule="exact" w:val="255"/>
        </w:trPr>
        <w:tc>
          <w:tcPr>
            <w:tcW w:w="5655" w:type="dxa"/>
            <w:tcBorders>
              <w:bottom w:val="nil"/>
            </w:tcBorders>
            <w:shd w:val="clear" w:color="auto" w:fill="auto"/>
            <w:vAlign w:val="center"/>
          </w:tcPr>
          <w:p w14:paraId="5CB05095" w14:textId="38AC100B" w:rsidR="00F16C11" w:rsidRPr="00B5537A" w:rsidRDefault="007B384A" w:rsidP="00DD319C">
            <w:pPr>
              <w:pStyle w:val="text"/>
            </w:pPr>
            <w:r>
              <w:t>20220822</w:t>
            </w:r>
          </w:p>
        </w:tc>
        <w:tc>
          <w:tcPr>
            <w:tcW w:w="3984" w:type="dxa"/>
            <w:gridSpan w:val="2"/>
            <w:tcBorders>
              <w:bottom w:val="nil"/>
            </w:tcBorders>
            <w:shd w:val="clear" w:color="auto" w:fill="auto"/>
            <w:vAlign w:val="center"/>
          </w:tcPr>
          <w:p w14:paraId="73105C16" w14:textId="77777777" w:rsidR="00F16C11" w:rsidRPr="00B5537A" w:rsidRDefault="00F16C11" w:rsidP="00C563B3">
            <w:pPr>
              <w:pStyle w:val="text"/>
              <w:jc w:val="right"/>
            </w:pPr>
            <w:r>
              <w:t>Výtisk č.: ...</w:t>
            </w:r>
          </w:p>
        </w:tc>
      </w:tr>
    </w:tbl>
    <w:p w14:paraId="0E89338A" w14:textId="4C0F07BD" w:rsidR="00181569" w:rsidRDefault="00181569" w:rsidP="00185D9E">
      <w:pPr>
        <w:pStyle w:val="text"/>
      </w:pPr>
    </w:p>
    <w:p w14:paraId="424D0E5C" w14:textId="77777777" w:rsidR="00185D9E" w:rsidRPr="00853805" w:rsidRDefault="00185D9E" w:rsidP="00185D9E">
      <w:pPr>
        <w:pStyle w:val="Kapitola"/>
      </w:pPr>
      <w:r w:rsidRPr="00853805">
        <w:t>Podmínky EMS</w:t>
      </w:r>
    </w:p>
    <w:p w14:paraId="212CA748" w14:textId="77777777" w:rsidR="00185D9E" w:rsidRPr="001C4465" w:rsidRDefault="00185D9E" w:rsidP="004915B3">
      <w:pPr>
        <w:pStyle w:val="Bod"/>
      </w:pPr>
      <w:r w:rsidRPr="001C4465">
        <w:t>Zhotovitel se zavazuje provádět dílo v souladu s obecně závaznými právními předpisy v oblasti životního prostředí.</w:t>
      </w:r>
    </w:p>
    <w:p w14:paraId="491A300D" w14:textId="77777777" w:rsidR="00185D9E" w:rsidRPr="001C4465" w:rsidRDefault="00185D9E" w:rsidP="004915B3">
      <w:pPr>
        <w:pStyle w:val="Bod"/>
      </w:pPr>
      <w:r w:rsidRPr="001C4465">
        <w:t>Zhotovitel je zodpovědný za případné vzniklé škody na životním prostředí, které vzniknou důsledkem nedodržení platných právních předpisů v oblasti ochrany životního prostředí. Současně se zhotovitel tímto zavazuje uhradit veškeré náklady způsobené jeho nesprávným postupem na úseku ochrany životního prostředí prováděním díla.</w:t>
      </w:r>
    </w:p>
    <w:p w14:paraId="0CB233B9" w14:textId="77777777" w:rsidR="00185D9E" w:rsidRPr="001C4465" w:rsidRDefault="00185D9E" w:rsidP="004915B3">
      <w:pPr>
        <w:pStyle w:val="Bod"/>
      </w:pPr>
      <w:r w:rsidRPr="001C4465">
        <w:t>V případě, že by vůči objednateli byly příslušným orgánem státní správy uplatněny jakékoliv sankce z titulu porušení povinností zhotovitele při provádění díla na úseku ochrany životního prostředí, zavazuje se zhotovitel, že vstoupí do správního řízení na místo objednatele a pokud tato záměna nebude možná, uhradí sankce, které budou objednateli uloženy pravomocným rozhodnutím včetně uhrazení prokazatelných nákladů spojených s takto vzniklým správním řízením. Současně se zhotovitel zavazuje, že pro případné správní řízení v této věci poskytne objednateli veškeré potřebné doklady, údaje a další nezbytnou součinnost.</w:t>
      </w:r>
    </w:p>
    <w:p w14:paraId="2B77013F" w14:textId="6BD61DE8" w:rsidR="00185D9E" w:rsidRPr="001C4465" w:rsidRDefault="00185D9E" w:rsidP="004915B3">
      <w:pPr>
        <w:pStyle w:val="Bod"/>
      </w:pPr>
      <w:r w:rsidRPr="001C4465">
        <w:t xml:space="preserve">Zhotovitel se zavazuje, že bude nakládat s odpady vzniklými v průběhu realizace díla </w:t>
      </w:r>
      <w:r w:rsidR="00591E39" w:rsidRPr="0033241F">
        <w:t xml:space="preserve">dle zákona č. 541/2020 Sb., o odpadech a vyhlášek č. 8/2021 a 273/2021 Sb. </w:t>
      </w:r>
      <w:r w:rsidR="00D51E8A" w:rsidRPr="001C4465">
        <w:t>na vlastní náklady</w:t>
      </w:r>
      <w:r w:rsidR="00D51E8A">
        <w:t>.</w:t>
      </w:r>
      <w:r w:rsidR="00D51E8A" w:rsidRPr="001C4465">
        <w:t xml:space="preserve"> </w:t>
      </w:r>
      <w:r w:rsidRPr="001C4465">
        <w:t>Veškerou problematiku odpadů souvisejících s prováděním díla bude zhotovitel konzultovat s odpovědnými pracovníky objednatele a bude dodržovat jejich pokyny.</w:t>
      </w:r>
    </w:p>
    <w:p w14:paraId="0F779AD7" w14:textId="77777777" w:rsidR="00185D9E" w:rsidRPr="001C4465" w:rsidRDefault="00185D9E" w:rsidP="004915B3">
      <w:pPr>
        <w:pStyle w:val="Bod"/>
      </w:pPr>
      <w:r w:rsidRPr="001C4465">
        <w:t>Zhotovitel bude respektovat „Program odstraňování odpadů“ objednatele, který vznikne při provádění díla. Zhotovitel se zavazuje odstranit odpad na vlastní náklady, vést o odpadu příslušnou evidenci a při předání díla předložit objednateli doklady o odstranění odpadu (kopie vážních lístků a evidenčních listů pro přepravu nebezpečného odpadu).</w:t>
      </w:r>
    </w:p>
    <w:p w14:paraId="7A7BF27C" w14:textId="77244127" w:rsidR="00185D9E" w:rsidRPr="001C4465" w:rsidRDefault="00185D9E" w:rsidP="004915B3">
      <w:pPr>
        <w:pStyle w:val="Bod"/>
      </w:pPr>
      <w:r w:rsidRPr="001C4465">
        <w:t xml:space="preserve">Sběrové nádoby musí být nepropustné. Nádoby na kapalné odpady musí být uloženy v záchytné vaně o </w:t>
      </w:r>
      <w:proofErr w:type="gramStart"/>
      <w:r w:rsidRPr="001C4465">
        <w:t>110%</w:t>
      </w:r>
      <w:proofErr w:type="gramEnd"/>
      <w:r w:rsidRPr="001C4465">
        <w:t xml:space="preserve"> jmenovitého objemu sběrné nádoby.</w:t>
      </w:r>
    </w:p>
    <w:p w14:paraId="00126AB9" w14:textId="77777777" w:rsidR="00185D9E" w:rsidRPr="001C4465" w:rsidRDefault="00185D9E" w:rsidP="004915B3">
      <w:pPr>
        <w:pStyle w:val="Bod"/>
      </w:pPr>
      <w:r w:rsidRPr="001C4465">
        <w:t>Zhotovitel se zavazuje nepoužívat montážní mechanizmy a zařízení s únikem mazadel, ropných a ostatních nebezpečných látek. Všechny mechanizmy, el. ruční nářadí a měřidla smí používat pouze s platnou revizní prohlídkou a kontrolou.</w:t>
      </w:r>
    </w:p>
    <w:p w14:paraId="5D94EF6E" w14:textId="1440B370" w:rsidR="00185D9E" w:rsidRDefault="00185D9E" w:rsidP="004915B3">
      <w:pPr>
        <w:pStyle w:val="Bod"/>
      </w:pPr>
      <w:r w:rsidRPr="001C4465">
        <w:t>Množství nátěrových hmot, ředidel a ostatních nebezpečných látek na pracovišti nesmí přesáhnout spotřebu na jednu pracovní směnu.</w:t>
      </w:r>
    </w:p>
    <w:p w14:paraId="0C69DC57" w14:textId="77777777" w:rsidR="00CE31ED" w:rsidRPr="00D146E6" w:rsidRDefault="00CE31ED" w:rsidP="00CE31ED">
      <w:pPr>
        <w:pStyle w:val="Bod"/>
      </w:pPr>
      <w:r w:rsidRPr="00D146E6">
        <w:t>Dodavatel se zavazuje při hospodaření s vodou dodržovat zákon č. 254/2001 Sb., o vodách ve znění pozdějších předpisů a nevypouštět do kanalizace nebezpečné látky.</w:t>
      </w:r>
    </w:p>
    <w:p w14:paraId="5436A7F5" w14:textId="77871959" w:rsidR="00CE31ED" w:rsidRPr="00D146E6" w:rsidRDefault="00CE31ED" w:rsidP="00CE31ED">
      <w:pPr>
        <w:pStyle w:val="Bod"/>
      </w:pPr>
      <w:r w:rsidRPr="00D146E6">
        <w:t>Nebezpečné chemické látky nebo nebezpečné směsi v kapalné podobě musí být uloženy v záchytných vanách s minimálním objemem vany jako největší uložená nádoba a zároveň 10</w:t>
      </w:r>
      <w:r w:rsidR="00F361CB">
        <w:t xml:space="preserve"> </w:t>
      </w:r>
      <w:r w:rsidRPr="00D146E6">
        <w:t xml:space="preserve">% z celkového množství uloženého objemu kapalin, dále musí splňovat předepsané požadavky (zákon č. 254/2001 Sb., o vodách ve znění pozdějších předpisů, zákon 350/2011 Sb., o chemických látkách a chemických směsích, ve znění pozdějších předpisů, ČSN 650201 atd.). </w:t>
      </w:r>
    </w:p>
    <w:p w14:paraId="35B23FF5" w14:textId="77777777" w:rsidR="00185D9E" w:rsidRPr="001C4465" w:rsidRDefault="00185D9E" w:rsidP="004915B3">
      <w:pPr>
        <w:pStyle w:val="Bod"/>
      </w:pPr>
      <w:r w:rsidRPr="001C4465">
        <w:t xml:space="preserve">V případě, že zhotovitel poruší povinnosti vyplývající z nedodržení předpisů v oblasti životního prostředí, je objednatel oprávněn účtovat zhotoviteli smluvní pokutu ve výši 1 000,-Kč za každý případ porušení, formou srážky z celkové ceny díla. Uplatněním smluvní pokuty není dotčen nárok na úhradu vzniklých škod. </w:t>
      </w:r>
    </w:p>
    <w:p w14:paraId="15D1E783" w14:textId="77777777" w:rsidR="00185D9E" w:rsidRDefault="00185D9E" w:rsidP="003E0530">
      <w:pPr>
        <w:pStyle w:val="text"/>
      </w:pPr>
    </w:p>
    <w:p w14:paraId="30AB465C" w14:textId="77777777" w:rsidR="00185D9E" w:rsidRPr="00853805" w:rsidRDefault="00185D9E" w:rsidP="00185D9E">
      <w:pPr>
        <w:pStyle w:val="Kapitola"/>
        <w:spacing w:after="60"/>
        <w:rPr>
          <w:sz w:val="22"/>
          <w:szCs w:val="22"/>
        </w:rPr>
      </w:pPr>
      <w:r w:rsidRPr="00853805">
        <w:rPr>
          <w:sz w:val="22"/>
          <w:szCs w:val="22"/>
        </w:rPr>
        <w:t>Podmínky BOZP</w:t>
      </w:r>
    </w:p>
    <w:p w14:paraId="35B712FC" w14:textId="77777777" w:rsidR="00185D9E" w:rsidRPr="001C4465" w:rsidRDefault="00185D9E">
      <w:pPr>
        <w:pStyle w:val="Bod"/>
        <w:numPr>
          <w:ilvl w:val="0"/>
          <w:numId w:val="8"/>
        </w:numPr>
      </w:pPr>
      <w:r w:rsidRPr="001C4465">
        <w:t xml:space="preserve">Zhotovitel je povinen dodržovat při provádění prací předpisy o bezpečnosti a ochraně zdraví při práci. </w:t>
      </w:r>
    </w:p>
    <w:p w14:paraId="4B602609" w14:textId="77777777" w:rsidR="00185D9E" w:rsidRPr="001C4465" w:rsidRDefault="00185D9E">
      <w:pPr>
        <w:pStyle w:val="Bod"/>
        <w:numPr>
          <w:ilvl w:val="0"/>
          <w:numId w:val="8"/>
        </w:numPr>
      </w:pPr>
      <w:r w:rsidRPr="001C4465">
        <w:t>Objednatel je povinen zajistit proškolení vedoucích pracovníků zhotovitele z místních podmínek na pracovišti vyplývajících z rizika možného ohrožení pracovníků zhotovitele na tomto pracovišti v souladu s ustanovením § 101 odst. 3 zákona č. 262/2006 Sb., zákoník práce, v platném znění, případně upozorní zhotovitele na další nutná školení, která je nutno absolvovat na základě požadavků třetích stran, na jejichž území se předmět smlouvy realizuje, a která mohou toto proškolení z místních podmínek nahradit nebo doplnit.</w:t>
      </w:r>
    </w:p>
    <w:p w14:paraId="42A014F7" w14:textId="6304972C" w:rsidR="00185D9E" w:rsidRPr="001C4465" w:rsidRDefault="00185D9E">
      <w:pPr>
        <w:pStyle w:val="Bod"/>
        <w:numPr>
          <w:ilvl w:val="0"/>
          <w:numId w:val="8"/>
        </w:numPr>
      </w:pPr>
      <w:r w:rsidRPr="001C4465">
        <w:t xml:space="preserve">Zhotovitel zajistí účast všech vedoucích pracovníků, kteří budou pracovat na realizaci předmětu smlouvy, na školení z místních podmínek i na dalších nutných školeních z bezpečnosti a ochrany zdraví při práci, a to před zahájením </w:t>
      </w:r>
      <w:r w:rsidR="003E0530" w:rsidRPr="001C4465">
        <w:t>prací</w:t>
      </w:r>
      <w:r w:rsidRPr="001C4465">
        <w:t xml:space="preserve"> a před vstupem na staveniště, kde se předmět smlouvy realizuje. Vedoucí pracovníci zhotovitele následně před zahájením </w:t>
      </w:r>
      <w:r w:rsidR="003E0530" w:rsidRPr="001C4465">
        <w:t>prací</w:t>
      </w:r>
      <w:r w:rsidRPr="001C4465">
        <w:t xml:space="preserve"> prokazatelně proškolí vlastní pracovníky.</w:t>
      </w:r>
    </w:p>
    <w:p w14:paraId="12511E93" w14:textId="77777777" w:rsidR="00185D9E" w:rsidRPr="001C4465" w:rsidRDefault="00185D9E">
      <w:pPr>
        <w:pStyle w:val="Bod"/>
        <w:numPr>
          <w:ilvl w:val="0"/>
          <w:numId w:val="8"/>
        </w:numPr>
      </w:pPr>
      <w:r w:rsidRPr="001C4465">
        <w:t>Zhotovitel je povinen předložit seznam pracovníků, kterým je povoleno pracovat na realizaci předmětu smlouvy a seznam rizik, které budou vznikat při jeho činnostech.</w:t>
      </w:r>
    </w:p>
    <w:p w14:paraId="4D0EB4E2" w14:textId="77777777" w:rsidR="00185D9E" w:rsidRPr="001C4465" w:rsidRDefault="00185D9E">
      <w:pPr>
        <w:pStyle w:val="Bod"/>
        <w:numPr>
          <w:ilvl w:val="0"/>
          <w:numId w:val="8"/>
        </w:numPr>
      </w:pPr>
      <w:r w:rsidRPr="001C4465">
        <w:t xml:space="preserve">Zhotovitel se zavazuje, že zajistí pro své pracovníky podmínky pro případ poskytnutí první pomoci (vybavená lékárnička nebo přenosná zdravotnická brašna, instrukce pro poskytnutí první pomoci apod.) a osobní ochranné pracovní prostředky. </w:t>
      </w:r>
    </w:p>
    <w:p w14:paraId="483E26E1" w14:textId="77777777" w:rsidR="00185D9E" w:rsidRPr="001C4465" w:rsidRDefault="00185D9E">
      <w:pPr>
        <w:pStyle w:val="Bod"/>
        <w:numPr>
          <w:ilvl w:val="0"/>
          <w:numId w:val="8"/>
        </w:numPr>
      </w:pPr>
      <w:r w:rsidRPr="001C4465">
        <w:t>V případě, že zhotovitel poruší povinnosti vyplývající z nedodržení předpisů bezpečnosti a ochrany zdraví při práci je povinen uhradit objednateli smluvní pokuty za každý zjištění případ v následující výši:</w:t>
      </w:r>
    </w:p>
    <w:tbl>
      <w:tblPr>
        <w:tblStyle w:val="Mkatabulky"/>
        <w:tblW w:w="10112"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60"/>
        <w:gridCol w:w="7952"/>
      </w:tblGrid>
      <w:tr w:rsidR="00185D9E" w:rsidRPr="006F39A2" w14:paraId="7A60CCE8" w14:textId="77777777" w:rsidTr="001C4465">
        <w:trPr>
          <w:cnfStyle w:val="100000000000" w:firstRow="1" w:lastRow="0" w:firstColumn="0" w:lastColumn="0" w:oddVBand="0" w:evenVBand="0" w:oddHBand="0" w:evenHBand="0" w:firstRowFirstColumn="0" w:firstRowLastColumn="0" w:lastRowFirstColumn="0" w:lastRowLastColumn="0"/>
        </w:trPr>
        <w:tc>
          <w:tcPr>
            <w:tcW w:w="2160" w:type="dxa"/>
            <w:tcBorders>
              <w:top w:val="single" w:sz="4" w:space="0" w:color="FFFFFF"/>
              <w:left w:val="single" w:sz="4" w:space="0" w:color="FFFFFF"/>
              <w:bottom w:val="single" w:sz="4" w:space="0" w:color="FFFFFF"/>
              <w:right w:val="single" w:sz="4" w:space="0" w:color="FFFFFF"/>
            </w:tcBorders>
            <w:shd w:val="clear" w:color="auto" w:fill="auto"/>
          </w:tcPr>
          <w:p w14:paraId="13666B58" w14:textId="77777777" w:rsidR="00185D9E" w:rsidRPr="001C4465" w:rsidRDefault="00185D9E">
            <w:pPr>
              <w:numPr>
                <w:ilvl w:val="1"/>
                <w:numId w:val="6"/>
              </w:numPr>
              <w:tabs>
                <w:tab w:val="clear" w:pos="1440"/>
                <w:tab w:val="left" w:pos="432"/>
                <w:tab w:val="left" w:pos="2412"/>
              </w:tabs>
              <w:ind w:left="432" w:right="-108"/>
              <w:jc w:val="both"/>
              <w:rPr>
                <w:rFonts w:ascii="Arial" w:hAnsi="Arial" w:cs="Arial"/>
                <w:b w:val="0"/>
                <w:sz w:val="18"/>
                <w:szCs w:val="18"/>
              </w:rPr>
            </w:pPr>
            <w:r w:rsidRPr="001C4465">
              <w:rPr>
                <w:rFonts w:ascii="Arial" w:hAnsi="Arial" w:cs="Arial"/>
                <w:b w:val="0"/>
                <w:sz w:val="18"/>
                <w:szCs w:val="18"/>
              </w:rPr>
              <w:t xml:space="preserve">   500,-Kč bez DPH</w:t>
            </w:r>
          </w:p>
        </w:tc>
        <w:tc>
          <w:tcPr>
            <w:tcW w:w="7952" w:type="dxa"/>
            <w:tcBorders>
              <w:top w:val="single" w:sz="4" w:space="0" w:color="FFFFFF"/>
              <w:left w:val="single" w:sz="4" w:space="0" w:color="FFFFFF"/>
              <w:bottom w:val="single" w:sz="4" w:space="0" w:color="FFFFFF"/>
              <w:right w:val="single" w:sz="4" w:space="0" w:color="FFFFFF"/>
            </w:tcBorders>
            <w:shd w:val="clear" w:color="auto" w:fill="auto"/>
          </w:tcPr>
          <w:p w14:paraId="5B30CE22"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nepoužívání osobních ochranných pomůcek,</w:t>
            </w:r>
          </w:p>
        </w:tc>
      </w:tr>
      <w:tr w:rsidR="00185D9E" w:rsidRPr="006F39A2" w14:paraId="72A50946" w14:textId="77777777" w:rsidTr="00DA00C7">
        <w:tc>
          <w:tcPr>
            <w:tcW w:w="2160" w:type="dxa"/>
            <w:tcBorders>
              <w:top w:val="single" w:sz="4" w:space="0" w:color="FFFFFF"/>
              <w:left w:val="single" w:sz="4" w:space="0" w:color="FFFFFF"/>
              <w:bottom w:val="single" w:sz="4" w:space="0" w:color="FFFFFF"/>
              <w:right w:val="single" w:sz="4" w:space="0" w:color="FFFFFF"/>
            </w:tcBorders>
          </w:tcPr>
          <w:p w14:paraId="6EA1E953" w14:textId="77777777" w:rsidR="00185D9E" w:rsidRPr="001C4465" w:rsidRDefault="00185D9E" w:rsidP="00DA00C7">
            <w:pPr>
              <w:tabs>
                <w:tab w:val="left" w:pos="432"/>
                <w:tab w:val="left" w:pos="2412"/>
              </w:tabs>
              <w:ind w:right="-108"/>
              <w:jc w:val="both"/>
              <w:rPr>
                <w:rFonts w:ascii="Arial" w:hAnsi="Arial" w:cs="Arial"/>
                <w:b w:val="0"/>
                <w:sz w:val="18"/>
                <w:szCs w:val="18"/>
              </w:rPr>
            </w:pPr>
          </w:p>
        </w:tc>
        <w:tc>
          <w:tcPr>
            <w:tcW w:w="7952" w:type="dxa"/>
            <w:tcBorders>
              <w:top w:val="single" w:sz="4" w:space="0" w:color="FFFFFF"/>
              <w:left w:val="single" w:sz="4" w:space="0" w:color="FFFFFF"/>
              <w:bottom w:val="single" w:sz="4" w:space="0" w:color="FFFFFF"/>
              <w:right w:val="single" w:sz="4" w:space="0" w:color="FFFFFF"/>
            </w:tcBorders>
          </w:tcPr>
          <w:p w14:paraId="5480F788" w14:textId="77777777" w:rsidR="00185D9E" w:rsidRPr="001C4465" w:rsidRDefault="00185D9E" w:rsidP="00DA00C7">
            <w:pPr>
              <w:jc w:val="both"/>
              <w:rPr>
                <w:rFonts w:ascii="Arial" w:hAnsi="Arial" w:cs="Arial"/>
                <w:b w:val="0"/>
                <w:sz w:val="18"/>
                <w:szCs w:val="18"/>
              </w:rPr>
            </w:pPr>
          </w:p>
        </w:tc>
      </w:tr>
      <w:tr w:rsidR="00185D9E" w:rsidRPr="006F39A2" w14:paraId="58329F11" w14:textId="77777777" w:rsidTr="00DA00C7">
        <w:tc>
          <w:tcPr>
            <w:tcW w:w="2160" w:type="dxa"/>
            <w:tcBorders>
              <w:top w:val="single" w:sz="4" w:space="0" w:color="FFFFFF"/>
              <w:left w:val="single" w:sz="4" w:space="0" w:color="FFFFFF"/>
              <w:bottom w:val="single" w:sz="4" w:space="0" w:color="FFFFFF"/>
              <w:right w:val="single" w:sz="4" w:space="0" w:color="FFFFFF"/>
            </w:tcBorders>
          </w:tcPr>
          <w:p w14:paraId="4061BFB6" w14:textId="77777777" w:rsidR="00185D9E" w:rsidRPr="001C4465" w:rsidRDefault="00185D9E">
            <w:pPr>
              <w:numPr>
                <w:ilvl w:val="1"/>
                <w:numId w:val="6"/>
              </w:numPr>
              <w:tabs>
                <w:tab w:val="clear" w:pos="1440"/>
                <w:tab w:val="left" w:pos="432"/>
                <w:tab w:val="left" w:pos="2412"/>
              </w:tabs>
              <w:ind w:left="432" w:right="-108"/>
              <w:jc w:val="both"/>
              <w:rPr>
                <w:rFonts w:ascii="Arial" w:hAnsi="Arial" w:cs="Arial"/>
                <w:b w:val="0"/>
                <w:sz w:val="18"/>
                <w:szCs w:val="18"/>
              </w:rPr>
            </w:pPr>
            <w:r w:rsidRPr="001C4465">
              <w:rPr>
                <w:rFonts w:ascii="Arial" w:hAnsi="Arial" w:cs="Arial"/>
                <w:b w:val="0"/>
                <w:sz w:val="18"/>
                <w:szCs w:val="18"/>
              </w:rPr>
              <w:t>1 000,-Kč bez DPH</w:t>
            </w:r>
          </w:p>
        </w:tc>
        <w:tc>
          <w:tcPr>
            <w:tcW w:w="7952" w:type="dxa"/>
            <w:tcBorders>
              <w:top w:val="single" w:sz="4" w:space="0" w:color="FFFFFF"/>
              <w:left w:val="single" w:sz="4" w:space="0" w:color="FFFFFF"/>
              <w:bottom w:val="single" w:sz="4" w:space="0" w:color="FFFFFF"/>
              <w:right w:val="single" w:sz="4" w:space="0" w:color="FFFFFF"/>
            </w:tcBorders>
          </w:tcPr>
          <w:p w14:paraId="01047792"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pohyb po pracovišti pod vlivem alkoholu nebo jiných návykových látek,</w:t>
            </w:r>
          </w:p>
          <w:p w14:paraId="236BD656"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odmítnutí dechové zkoušky,</w:t>
            </w:r>
          </w:p>
          <w:p w14:paraId="7B0A60DB"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porušování zákazu kouření (kromě vyhrazených prostor),</w:t>
            </w:r>
          </w:p>
        </w:tc>
      </w:tr>
      <w:tr w:rsidR="00185D9E" w:rsidRPr="006F39A2" w14:paraId="120716C4" w14:textId="77777777" w:rsidTr="00DA00C7">
        <w:trPr>
          <w:trHeight w:val="188"/>
        </w:trPr>
        <w:tc>
          <w:tcPr>
            <w:tcW w:w="2160" w:type="dxa"/>
            <w:tcBorders>
              <w:top w:val="single" w:sz="4" w:space="0" w:color="FFFFFF"/>
              <w:left w:val="single" w:sz="4" w:space="0" w:color="FFFFFF"/>
              <w:bottom w:val="single" w:sz="4" w:space="0" w:color="FFFFFF"/>
              <w:right w:val="single" w:sz="4" w:space="0" w:color="FFFFFF"/>
            </w:tcBorders>
          </w:tcPr>
          <w:p w14:paraId="290D27D1" w14:textId="77777777" w:rsidR="00185D9E" w:rsidRPr="001C4465" w:rsidRDefault="00185D9E" w:rsidP="00DA00C7">
            <w:pPr>
              <w:tabs>
                <w:tab w:val="left" w:pos="432"/>
                <w:tab w:val="left" w:pos="2412"/>
              </w:tabs>
              <w:ind w:left="72" w:right="-108"/>
              <w:jc w:val="both"/>
              <w:rPr>
                <w:rFonts w:ascii="Arial" w:hAnsi="Arial" w:cs="Arial"/>
                <w:b w:val="0"/>
                <w:sz w:val="18"/>
                <w:szCs w:val="18"/>
              </w:rPr>
            </w:pPr>
          </w:p>
        </w:tc>
        <w:tc>
          <w:tcPr>
            <w:tcW w:w="7952" w:type="dxa"/>
            <w:tcBorders>
              <w:top w:val="single" w:sz="4" w:space="0" w:color="FFFFFF"/>
              <w:left w:val="single" w:sz="4" w:space="0" w:color="FFFFFF"/>
              <w:bottom w:val="single" w:sz="4" w:space="0" w:color="FFFFFF"/>
              <w:right w:val="single" w:sz="4" w:space="0" w:color="FFFFFF"/>
            </w:tcBorders>
          </w:tcPr>
          <w:p w14:paraId="78BD5231" w14:textId="77777777" w:rsidR="00185D9E" w:rsidRPr="001C4465" w:rsidRDefault="00185D9E" w:rsidP="00DA00C7">
            <w:pPr>
              <w:jc w:val="both"/>
              <w:rPr>
                <w:rFonts w:ascii="Arial" w:hAnsi="Arial" w:cs="Arial"/>
                <w:b w:val="0"/>
                <w:sz w:val="18"/>
                <w:szCs w:val="18"/>
              </w:rPr>
            </w:pPr>
          </w:p>
        </w:tc>
      </w:tr>
      <w:tr w:rsidR="00185D9E" w:rsidRPr="006F39A2" w14:paraId="23CF179E" w14:textId="77777777" w:rsidTr="00DA00C7">
        <w:trPr>
          <w:trHeight w:val="188"/>
        </w:trPr>
        <w:tc>
          <w:tcPr>
            <w:tcW w:w="2160" w:type="dxa"/>
            <w:tcBorders>
              <w:top w:val="single" w:sz="4" w:space="0" w:color="FFFFFF"/>
              <w:left w:val="single" w:sz="4" w:space="0" w:color="FFFFFF"/>
              <w:bottom w:val="single" w:sz="4" w:space="0" w:color="FFFFFF"/>
              <w:right w:val="single" w:sz="4" w:space="0" w:color="FFFFFF"/>
            </w:tcBorders>
          </w:tcPr>
          <w:p w14:paraId="35012583" w14:textId="77777777" w:rsidR="00185D9E" w:rsidRPr="001C4465" w:rsidRDefault="00185D9E">
            <w:pPr>
              <w:numPr>
                <w:ilvl w:val="1"/>
                <w:numId w:val="6"/>
              </w:numPr>
              <w:tabs>
                <w:tab w:val="clear" w:pos="1440"/>
                <w:tab w:val="left" w:pos="432"/>
                <w:tab w:val="left" w:pos="2412"/>
              </w:tabs>
              <w:ind w:left="432" w:right="-108"/>
              <w:jc w:val="both"/>
              <w:rPr>
                <w:rFonts w:ascii="Arial" w:hAnsi="Arial" w:cs="Arial"/>
                <w:b w:val="0"/>
                <w:sz w:val="18"/>
                <w:szCs w:val="18"/>
              </w:rPr>
            </w:pPr>
            <w:r w:rsidRPr="001C4465">
              <w:rPr>
                <w:rFonts w:ascii="Arial" w:hAnsi="Arial" w:cs="Arial"/>
                <w:b w:val="0"/>
                <w:sz w:val="18"/>
                <w:szCs w:val="18"/>
              </w:rPr>
              <w:t>5 000,-Kč bez DPH</w:t>
            </w:r>
          </w:p>
        </w:tc>
        <w:tc>
          <w:tcPr>
            <w:tcW w:w="7952" w:type="dxa"/>
            <w:vMerge w:val="restart"/>
            <w:tcBorders>
              <w:top w:val="single" w:sz="4" w:space="0" w:color="FFFFFF"/>
              <w:left w:val="single" w:sz="4" w:space="0" w:color="FFFFFF"/>
              <w:bottom w:val="single" w:sz="4" w:space="0" w:color="FFFFFF"/>
              <w:right w:val="single" w:sz="4" w:space="0" w:color="FFFFFF"/>
            </w:tcBorders>
          </w:tcPr>
          <w:p w14:paraId="0808D0EF"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nezakrytý otvor ve vodorovné konstrukci,</w:t>
            </w:r>
          </w:p>
          <w:p w14:paraId="55441918"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nezajištěný výkop,</w:t>
            </w:r>
          </w:p>
          <w:p w14:paraId="3083975E"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lastRenderedPageBreak/>
              <w:t>- chybějící ochranné zábradlí na stavbě,</w:t>
            </w:r>
          </w:p>
          <w:p w14:paraId="4352CF55"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používání nevyhovujících žebříků,</w:t>
            </w:r>
          </w:p>
          <w:p w14:paraId="5AE8D614"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práce ve výškách bez zajištění proti pádu,</w:t>
            </w:r>
          </w:p>
          <w:p w14:paraId="3169B42E"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nezajištěné pracoviště pod místem práce ve výšce,</w:t>
            </w:r>
          </w:p>
          <w:p w14:paraId="3F32064D"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nezajištěný prostor, kde se provádí bourací práce,</w:t>
            </w:r>
          </w:p>
          <w:p w14:paraId="7D289DA6"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používání poškozených nebo nevyhovujících el. zařízení, prodlužovacích kabelů atd.,</w:t>
            </w:r>
          </w:p>
          <w:p w14:paraId="1A34D5CE"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provozováno vyhrazené zdvíhací zařízení (výtah) bez revize,</w:t>
            </w:r>
          </w:p>
          <w:p w14:paraId="77FAF3E8"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stavební výtah obsluhován neproškolenou obsluhou,</w:t>
            </w:r>
          </w:p>
          <w:p w14:paraId="716C14B2"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jízda osob v nákladním výtahu,</w:t>
            </w:r>
          </w:p>
          <w:p w14:paraId="5A62F5F6"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vázání bez vazačského oprávnění,</w:t>
            </w:r>
          </w:p>
          <w:p w14:paraId="2182BD9A"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používání poškozených vázacích prostředků,</w:t>
            </w:r>
          </w:p>
          <w:p w14:paraId="2FB0919E" w14:textId="77777777" w:rsidR="00185D9E" w:rsidRPr="001C4465" w:rsidRDefault="00185D9E" w:rsidP="00DA00C7">
            <w:pPr>
              <w:jc w:val="both"/>
              <w:rPr>
                <w:rFonts w:ascii="Arial" w:hAnsi="Arial" w:cs="Arial"/>
                <w:b w:val="0"/>
                <w:sz w:val="18"/>
                <w:szCs w:val="18"/>
              </w:rPr>
            </w:pPr>
            <w:r w:rsidRPr="001C4465">
              <w:rPr>
                <w:rFonts w:ascii="Arial" w:hAnsi="Arial" w:cs="Arial"/>
                <w:b w:val="0"/>
                <w:sz w:val="18"/>
                <w:szCs w:val="18"/>
              </w:rPr>
              <w:t>- špatně postavené lešení.</w:t>
            </w:r>
          </w:p>
        </w:tc>
      </w:tr>
      <w:tr w:rsidR="00185D9E" w:rsidRPr="006F39A2" w14:paraId="68703B55" w14:textId="77777777" w:rsidTr="00DA00C7">
        <w:trPr>
          <w:trHeight w:val="184"/>
        </w:trPr>
        <w:tc>
          <w:tcPr>
            <w:tcW w:w="2160" w:type="dxa"/>
            <w:tcBorders>
              <w:top w:val="single" w:sz="4" w:space="0" w:color="FFFFFF"/>
              <w:left w:val="single" w:sz="4" w:space="0" w:color="FFFFFF"/>
              <w:bottom w:val="single" w:sz="4" w:space="0" w:color="FFFFFF"/>
              <w:right w:val="single" w:sz="4" w:space="0" w:color="FFFFFF"/>
            </w:tcBorders>
          </w:tcPr>
          <w:p w14:paraId="5AC9CB3C" w14:textId="77777777" w:rsidR="00185D9E" w:rsidRPr="006F39A2" w:rsidRDefault="00185D9E" w:rsidP="00DA00C7">
            <w:pPr>
              <w:tabs>
                <w:tab w:val="left" w:pos="432"/>
                <w:tab w:val="left" w:pos="2412"/>
              </w:tabs>
              <w:ind w:left="72" w:right="-108"/>
              <w:jc w:val="both"/>
              <w:rPr>
                <w:rFonts w:ascii="Arial" w:hAnsi="Arial" w:cs="Arial"/>
                <w:b w:val="0"/>
                <w:sz w:val="16"/>
                <w:szCs w:val="16"/>
              </w:rPr>
            </w:pPr>
          </w:p>
        </w:tc>
        <w:tc>
          <w:tcPr>
            <w:tcW w:w="0" w:type="auto"/>
            <w:vMerge/>
            <w:tcBorders>
              <w:top w:val="single" w:sz="4" w:space="0" w:color="FFFFFF"/>
              <w:left w:val="single" w:sz="4" w:space="0" w:color="FFFFFF"/>
              <w:bottom w:val="single" w:sz="4" w:space="0" w:color="FFFFFF"/>
              <w:right w:val="single" w:sz="4" w:space="0" w:color="FFFFFF"/>
            </w:tcBorders>
          </w:tcPr>
          <w:p w14:paraId="0A86978A" w14:textId="77777777" w:rsidR="00185D9E" w:rsidRPr="006F39A2" w:rsidRDefault="00185D9E" w:rsidP="00DA00C7">
            <w:pPr>
              <w:rPr>
                <w:rFonts w:ascii="Arial" w:hAnsi="Arial" w:cs="Arial"/>
                <w:b w:val="0"/>
                <w:sz w:val="16"/>
                <w:szCs w:val="16"/>
              </w:rPr>
            </w:pPr>
          </w:p>
        </w:tc>
      </w:tr>
      <w:tr w:rsidR="00185D9E" w:rsidRPr="006F39A2" w14:paraId="1C3AF734" w14:textId="77777777" w:rsidTr="00DA00C7">
        <w:trPr>
          <w:trHeight w:val="184"/>
        </w:trPr>
        <w:tc>
          <w:tcPr>
            <w:tcW w:w="2160" w:type="dxa"/>
            <w:tcBorders>
              <w:top w:val="single" w:sz="4" w:space="0" w:color="FFFFFF"/>
              <w:left w:val="single" w:sz="4" w:space="0" w:color="FFFFFF"/>
              <w:bottom w:val="single" w:sz="4" w:space="0" w:color="FFFFFF"/>
              <w:right w:val="single" w:sz="4" w:space="0" w:color="FFFFFF"/>
            </w:tcBorders>
          </w:tcPr>
          <w:p w14:paraId="34A1208B" w14:textId="77777777" w:rsidR="00185D9E" w:rsidRPr="006F39A2" w:rsidRDefault="00185D9E" w:rsidP="00DA00C7">
            <w:pPr>
              <w:tabs>
                <w:tab w:val="left" w:pos="432"/>
                <w:tab w:val="left" w:pos="2412"/>
              </w:tabs>
              <w:ind w:left="72" w:right="-108"/>
              <w:jc w:val="both"/>
              <w:rPr>
                <w:rFonts w:ascii="Arial" w:hAnsi="Arial" w:cs="Arial"/>
                <w:b w:val="0"/>
                <w:sz w:val="16"/>
                <w:szCs w:val="16"/>
              </w:rPr>
            </w:pPr>
          </w:p>
        </w:tc>
        <w:tc>
          <w:tcPr>
            <w:tcW w:w="0" w:type="auto"/>
            <w:vMerge/>
            <w:tcBorders>
              <w:top w:val="single" w:sz="4" w:space="0" w:color="FFFFFF"/>
              <w:left w:val="single" w:sz="4" w:space="0" w:color="FFFFFF"/>
              <w:bottom w:val="single" w:sz="4" w:space="0" w:color="FFFFFF"/>
              <w:right w:val="single" w:sz="4" w:space="0" w:color="FFFFFF"/>
            </w:tcBorders>
          </w:tcPr>
          <w:p w14:paraId="246A4738" w14:textId="77777777" w:rsidR="00185D9E" w:rsidRPr="006F39A2" w:rsidRDefault="00185D9E" w:rsidP="00DA00C7">
            <w:pPr>
              <w:rPr>
                <w:rFonts w:ascii="Arial" w:hAnsi="Arial" w:cs="Arial"/>
                <w:b w:val="0"/>
                <w:sz w:val="16"/>
                <w:szCs w:val="16"/>
              </w:rPr>
            </w:pPr>
          </w:p>
        </w:tc>
      </w:tr>
      <w:tr w:rsidR="00185D9E" w:rsidRPr="006F39A2" w14:paraId="30B2F0DB" w14:textId="77777777" w:rsidTr="00DA00C7">
        <w:trPr>
          <w:trHeight w:val="184"/>
        </w:trPr>
        <w:tc>
          <w:tcPr>
            <w:tcW w:w="2160" w:type="dxa"/>
            <w:tcBorders>
              <w:top w:val="single" w:sz="4" w:space="0" w:color="FFFFFF"/>
              <w:left w:val="single" w:sz="4" w:space="0" w:color="FFFFFF"/>
              <w:bottom w:val="single" w:sz="4" w:space="0" w:color="FFFFFF"/>
              <w:right w:val="single" w:sz="4" w:space="0" w:color="FFFFFF"/>
            </w:tcBorders>
          </w:tcPr>
          <w:p w14:paraId="1D2A40C9" w14:textId="77777777" w:rsidR="00185D9E" w:rsidRPr="006F39A2" w:rsidRDefault="00185D9E" w:rsidP="00DA00C7">
            <w:pPr>
              <w:tabs>
                <w:tab w:val="left" w:pos="432"/>
                <w:tab w:val="left" w:pos="2412"/>
              </w:tabs>
              <w:ind w:left="72" w:right="-108"/>
              <w:jc w:val="both"/>
              <w:rPr>
                <w:rFonts w:ascii="Arial" w:hAnsi="Arial" w:cs="Arial"/>
                <w:b w:val="0"/>
                <w:sz w:val="16"/>
                <w:szCs w:val="16"/>
              </w:rPr>
            </w:pPr>
          </w:p>
        </w:tc>
        <w:tc>
          <w:tcPr>
            <w:tcW w:w="0" w:type="auto"/>
            <w:vMerge/>
            <w:tcBorders>
              <w:top w:val="single" w:sz="4" w:space="0" w:color="FFFFFF"/>
              <w:left w:val="single" w:sz="4" w:space="0" w:color="FFFFFF"/>
              <w:bottom w:val="single" w:sz="4" w:space="0" w:color="FFFFFF"/>
              <w:right w:val="single" w:sz="4" w:space="0" w:color="FFFFFF"/>
            </w:tcBorders>
          </w:tcPr>
          <w:p w14:paraId="79043004" w14:textId="77777777" w:rsidR="00185D9E" w:rsidRPr="006F39A2" w:rsidRDefault="00185D9E" w:rsidP="00DA00C7">
            <w:pPr>
              <w:rPr>
                <w:rFonts w:ascii="Arial" w:hAnsi="Arial" w:cs="Arial"/>
                <w:b w:val="0"/>
                <w:sz w:val="16"/>
                <w:szCs w:val="16"/>
              </w:rPr>
            </w:pPr>
          </w:p>
        </w:tc>
      </w:tr>
      <w:tr w:rsidR="00185D9E" w:rsidRPr="006F39A2" w14:paraId="3B03F8C4" w14:textId="77777777" w:rsidTr="00DA00C7">
        <w:trPr>
          <w:trHeight w:val="184"/>
        </w:trPr>
        <w:tc>
          <w:tcPr>
            <w:tcW w:w="2160" w:type="dxa"/>
            <w:tcBorders>
              <w:top w:val="single" w:sz="4" w:space="0" w:color="FFFFFF"/>
              <w:left w:val="single" w:sz="4" w:space="0" w:color="FFFFFF"/>
              <w:bottom w:val="single" w:sz="4" w:space="0" w:color="FFFFFF"/>
              <w:right w:val="single" w:sz="4" w:space="0" w:color="FFFFFF"/>
            </w:tcBorders>
          </w:tcPr>
          <w:p w14:paraId="5BCECE82" w14:textId="77777777" w:rsidR="00185D9E" w:rsidRPr="006F39A2" w:rsidRDefault="00185D9E" w:rsidP="00DA00C7">
            <w:pPr>
              <w:tabs>
                <w:tab w:val="left" w:pos="432"/>
                <w:tab w:val="left" w:pos="2412"/>
              </w:tabs>
              <w:ind w:right="-108"/>
              <w:jc w:val="both"/>
              <w:rPr>
                <w:rFonts w:ascii="Arial" w:hAnsi="Arial" w:cs="Arial"/>
                <w:b w:val="0"/>
                <w:sz w:val="16"/>
                <w:szCs w:val="16"/>
              </w:rPr>
            </w:pPr>
          </w:p>
        </w:tc>
        <w:tc>
          <w:tcPr>
            <w:tcW w:w="0" w:type="auto"/>
            <w:vMerge/>
            <w:tcBorders>
              <w:top w:val="single" w:sz="4" w:space="0" w:color="FFFFFF"/>
              <w:left w:val="single" w:sz="4" w:space="0" w:color="FFFFFF"/>
              <w:bottom w:val="single" w:sz="4" w:space="0" w:color="FFFFFF"/>
              <w:right w:val="single" w:sz="4" w:space="0" w:color="FFFFFF"/>
            </w:tcBorders>
          </w:tcPr>
          <w:p w14:paraId="27D53FF9" w14:textId="77777777" w:rsidR="00185D9E" w:rsidRPr="006F39A2" w:rsidRDefault="00185D9E" w:rsidP="00DA00C7">
            <w:pPr>
              <w:rPr>
                <w:rFonts w:ascii="Arial" w:hAnsi="Arial" w:cs="Arial"/>
                <w:b w:val="0"/>
                <w:sz w:val="16"/>
                <w:szCs w:val="16"/>
              </w:rPr>
            </w:pPr>
          </w:p>
        </w:tc>
      </w:tr>
      <w:tr w:rsidR="00185D9E" w:rsidRPr="006F39A2" w14:paraId="259B0687" w14:textId="77777777" w:rsidTr="00DA00C7">
        <w:trPr>
          <w:trHeight w:val="184"/>
        </w:trPr>
        <w:tc>
          <w:tcPr>
            <w:tcW w:w="2160" w:type="dxa"/>
            <w:tcBorders>
              <w:top w:val="single" w:sz="4" w:space="0" w:color="FFFFFF"/>
              <w:left w:val="single" w:sz="4" w:space="0" w:color="FFFFFF"/>
              <w:bottom w:val="single" w:sz="4" w:space="0" w:color="FFFFFF"/>
              <w:right w:val="single" w:sz="4" w:space="0" w:color="FFFFFF"/>
            </w:tcBorders>
          </w:tcPr>
          <w:p w14:paraId="226B51B8" w14:textId="77777777" w:rsidR="00185D9E" w:rsidRPr="006F39A2" w:rsidRDefault="00185D9E" w:rsidP="00DA00C7">
            <w:pPr>
              <w:tabs>
                <w:tab w:val="left" w:pos="432"/>
                <w:tab w:val="left" w:pos="2412"/>
              </w:tabs>
              <w:ind w:right="-108"/>
              <w:jc w:val="both"/>
              <w:rPr>
                <w:rFonts w:ascii="Arial" w:hAnsi="Arial" w:cs="Arial"/>
                <w:b w:val="0"/>
                <w:sz w:val="16"/>
                <w:szCs w:val="16"/>
              </w:rPr>
            </w:pPr>
          </w:p>
        </w:tc>
        <w:tc>
          <w:tcPr>
            <w:tcW w:w="0" w:type="auto"/>
            <w:vMerge/>
            <w:tcBorders>
              <w:top w:val="single" w:sz="4" w:space="0" w:color="FFFFFF"/>
              <w:left w:val="single" w:sz="4" w:space="0" w:color="FFFFFF"/>
              <w:bottom w:val="single" w:sz="4" w:space="0" w:color="FFFFFF"/>
              <w:right w:val="single" w:sz="4" w:space="0" w:color="FFFFFF"/>
            </w:tcBorders>
          </w:tcPr>
          <w:p w14:paraId="0A2AC382" w14:textId="77777777" w:rsidR="00185D9E" w:rsidRPr="006F39A2" w:rsidRDefault="00185D9E" w:rsidP="00DA00C7">
            <w:pPr>
              <w:rPr>
                <w:rFonts w:ascii="Arial" w:hAnsi="Arial" w:cs="Arial"/>
                <w:b w:val="0"/>
                <w:sz w:val="16"/>
                <w:szCs w:val="16"/>
              </w:rPr>
            </w:pPr>
          </w:p>
        </w:tc>
      </w:tr>
      <w:tr w:rsidR="00185D9E" w:rsidRPr="006F39A2" w14:paraId="764C6A58" w14:textId="77777777" w:rsidTr="00DA00C7">
        <w:trPr>
          <w:trHeight w:val="184"/>
        </w:trPr>
        <w:tc>
          <w:tcPr>
            <w:tcW w:w="2160" w:type="dxa"/>
            <w:tcBorders>
              <w:top w:val="single" w:sz="4" w:space="0" w:color="FFFFFF"/>
              <w:left w:val="single" w:sz="4" w:space="0" w:color="FFFFFF"/>
              <w:bottom w:val="single" w:sz="4" w:space="0" w:color="FFFFFF"/>
              <w:right w:val="single" w:sz="4" w:space="0" w:color="FFFFFF"/>
            </w:tcBorders>
          </w:tcPr>
          <w:p w14:paraId="47563AA4" w14:textId="77777777" w:rsidR="00185D9E" w:rsidRPr="006F39A2" w:rsidRDefault="00185D9E" w:rsidP="00DA00C7">
            <w:pPr>
              <w:tabs>
                <w:tab w:val="left" w:pos="432"/>
                <w:tab w:val="left" w:pos="2412"/>
              </w:tabs>
              <w:ind w:left="72" w:right="-108"/>
              <w:jc w:val="both"/>
              <w:rPr>
                <w:rFonts w:ascii="Arial" w:hAnsi="Arial" w:cs="Arial"/>
                <w:b w:val="0"/>
                <w:sz w:val="16"/>
                <w:szCs w:val="16"/>
              </w:rPr>
            </w:pPr>
          </w:p>
        </w:tc>
        <w:tc>
          <w:tcPr>
            <w:tcW w:w="0" w:type="auto"/>
            <w:vMerge/>
            <w:tcBorders>
              <w:top w:val="single" w:sz="4" w:space="0" w:color="FFFFFF"/>
              <w:left w:val="single" w:sz="4" w:space="0" w:color="FFFFFF"/>
              <w:bottom w:val="single" w:sz="4" w:space="0" w:color="FFFFFF"/>
              <w:right w:val="single" w:sz="4" w:space="0" w:color="FFFFFF"/>
            </w:tcBorders>
          </w:tcPr>
          <w:p w14:paraId="52147800" w14:textId="77777777" w:rsidR="00185D9E" w:rsidRPr="006F39A2" w:rsidRDefault="00185D9E" w:rsidP="00DA00C7">
            <w:pPr>
              <w:rPr>
                <w:rFonts w:ascii="Arial" w:hAnsi="Arial" w:cs="Arial"/>
                <w:b w:val="0"/>
                <w:sz w:val="16"/>
                <w:szCs w:val="16"/>
              </w:rPr>
            </w:pPr>
          </w:p>
        </w:tc>
      </w:tr>
    </w:tbl>
    <w:p w14:paraId="6C98A3B5" w14:textId="5843698D" w:rsidR="00185D9E" w:rsidRPr="00A53057" w:rsidRDefault="001C4465" w:rsidP="001C4465">
      <w:pPr>
        <w:pStyle w:val="text"/>
        <w:rPr>
          <w:b/>
        </w:rPr>
      </w:pPr>
      <w:r>
        <w:tab/>
      </w:r>
      <w:r w:rsidR="00185D9E" w:rsidRPr="00A53057">
        <w:t>Uplatněním smluvní pokuty není dotčen nárok na úhradu vzniklých škod.</w:t>
      </w:r>
    </w:p>
    <w:p w14:paraId="36CD4CC4" w14:textId="77777777" w:rsidR="00185D9E" w:rsidRPr="001C4465" w:rsidRDefault="00185D9E">
      <w:pPr>
        <w:pStyle w:val="Bod"/>
        <w:numPr>
          <w:ilvl w:val="0"/>
          <w:numId w:val="8"/>
        </w:numPr>
      </w:pPr>
      <w:r w:rsidRPr="001C4465">
        <w:t>Pokud dojde pracovníkem nebo pracovníky zhotovitele k požití alkoholických nápojů nebo jiné návykové látky na staveništi, je povinen stavbyvedoucí zhotovitele dotyčného pracovníka okamžitě ze stavby vykázat. Pracovníci zhotovitele jsou povinni podrobit se na žádost pověřeného pracovníka objednatele dechové zkoušce na přítomnost alkoholických nápojů nebo jiné návykově látky. V případě, že se pracovník zhotovitele odmítne podrobit takovéto zkoušce, má se za to, že byl pod vlivem alkoholického nápoje či jiné návykové látky.</w:t>
      </w:r>
    </w:p>
    <w:p w14:paraId="0AA652FB" w14:textId="77777777" w:rsidR="00185D9E" w:rsidRPr="00A53057" w:rsidRDefault="00185D9E" w:rsidP="00185D9E">
      <w:pPr>
        <w:pStyle w:val="textCharChar"/>
        <w:rPr>
          <w:rFonts w:cs="Times New Roman"/>
          <w:sz w:val="18"/>
          <w:szCs w:val="18"/>
        </w:rPr>
      </w:pPr>
    </w:p>
    <w:p w14:paraId="29CA24DA" w14:textId="77777777" w:rsidR="00185D9E" w:rsidRPr="00A53057" w:rsidRDefault="00185D9E" w:rsidP="00885D90">
      <w:pPr>
        <w:pStyle w:val="Kapitola"/>
        <w:rPr>
          <w:sz w:val="22"/>
          <w:szCs w:val="22"/>
        </w:rPr>
      </w:pPr>
      <w:r w:rsidRPr="00853805">
        <w:t>Podmínky PO</w:t>
      </w:r>
    </w:p>
    <w:p w14:paraId="4AF4857A" w14:textId="77777777" w:rsidR="00185D9E" w:rsidRPr="00A53057" w:rsidRDefault="00185D9E">
      <w:pPr>
        <w:pStyle w:val="Bod"/>
        <w:numPr>
          <w:ilvl w:val="0"/>
          <w:numId w:val="9"/>
        </w:numPr>
      </w:pPr>
      <w:r w:rsidRPr="00A53057">
        <w:t>Zhotovitel je povinen dodržovat při provádění prací předpisy v oblasti požární ochrany (dále jen PO).</w:t>
      </w:r>
    </w:p>
    <w:p w14:paraId="21B181B3" w14:textId="77777777" w:rsidR="00185D9E" w:rsidRPr="00A53057" w:rsidRDefault="00185D9E">
      <w:pPr>
        <w:pStyle w:val="Bod"/>
        <w:numPr>
          <w:ilvl w:val="0"/>
          <w:numId w:val="9"/>
        </w:numPr>
      </w:pPr>
      <w:r w:rsidRPr="00A53057">
        <w:t>Zhotovitel je povinen zejména:</w:t>
      </w:r>
    </w:p>
    <w:p w14:paraId="31C9647A" w14:textId="77777777" w:rsidR="00185D9E" w:rsidRPr="00A53057" w:rsidRDefault="00185D9E" w:rsidP="001C4465">
      <w:pPr>
        <w:pStyle w:val="odrky"/>
      </w:pPr>
      <w:r w:rsidRPr="00A53057">
        <w:t>respektovat zásady PO, plnit a dodržovat právní předpisy a technické normy s PO související,</w:t>
      </w:r>
    </w:p>
    <w:p w14:paraId="16207BDB" w14:textId="77777777" w:rsidR="00185D9E" w:rsidRPr="00A53057" w:rsidRDefault="00185D9E" w:rsidP="001C4465">
      <w:pPr>
        <w:pStyle w:val="odrky"/>
      </w:pPr>
      <w:r w:rsidRPr="00A53057">
        <w:t>stanovit protipožární opatření a vyžadovat zajištění PO při provozování činnosti nebo objektů se zvýšeným požárním nebezpečím,</w:t>
      </w:r>
    </w:p>
    <w:p w14:paraId="773C4ABC" w14:textId="77777777" w:rsidR="00185D9E" w:rsidRPr="00A53057" w:rsidRDefault="00185D9E" w:rsidP="001C4465">
      <w:pPr>
        <w:pStyle w:val="odrky"/>
      </w:pPr>
      <w:r w:rsidRPr="00A53057">
        <w:t>zajistit proškolení vlastních pracovníků o PO před vstupem na staveniště objednatele a před započetím prací,</w:t>
      </w:r>
    </w:p>
    <w:p w14:paraId="5F0C07C1" w14:textId="77777777" w:rsidR="00185D9E" w:rsidRPr="00A53057" w:rsidRDefault="00185D9E" w:rsidP="001C4465">
      <w:pPr>
        <w:pStyle w:val="odrky"/>
      </w:pPr>
      <w:r w:rsidRPr="00A53057">
        <w:t>dodržovat, aby při provozování činnosti nebo objektů se zvýšeným požárním nebezpečím byly tyto objekty požárně zabezpečeny (hasící přístroje, únikové cesty, požární dozor),</w:t>
      </w:r>
    </w:p>
    <w:p w14:paraId="6B9261E2" w14:textId="77777777" w:rsidR="00185D9E" w:rsidRPr="00A53057" w:rsidRDefault="00185D9E" w:rsidP="001C4465">
      <w:pPr>
        <w:pStyle w:val="odrky"/>
      </w:pPr>
      <w:r w:rsidRPr="00A53057">
        <w:t>předložit objednateli hlášení o každém vzniklém požáru na pracovišti, tato povinnost nezbavuje zhotovitele povinnosti hlásit vznik požáru záchrannému sboru a dalším příslušným státním orgánům,</w:t>
      </w:r>
    </w:p>
    <w:p w14:paraId="69C21515" w14:textId="77777777" w:rsidR="00185D9E" w:rsidRPr="00A53057" w:rsidRDefault="00185D9E" w:rsidP="001C4465">
      <w:pPr>
        <w:pStyle w:val="odrky"/>
      </w:pPr>
      <w:r w:rsidRPr="00A53057">
        <w:t>zajišťovat následný dozor po ukončení práce s otevřeným ohněm a ukončení ostatních prací se zvýšeným nebezpečím vzniku požáru v souladu s požadavky vyhlášky č. 87/2000 Sb., kterou se stanoví podmínky požární bezpečnosti při svařování a nahřívání živic v tavných nádobách, v platném znění a v souladu s ČSN, které souvisejí s prováděnými činnostmi.</w:t>
      </w:r>
    </w:p>
    <w:p w14:paraId="55AFBBBE" w14:textId="77777777" w:rsidR="00185D9E" w:rsidRPr="00775C79" w:rsidRDefault="00185D9E" w:rsidP="00775C79">
      <w:pPr>
        <w:pStyle w:val="Bod"/>
      </w:pPr>
      <w:r w:rsidRPr="00775C79">
        <w:t xml:space="preserve">V případě, že zhotovitel poruší povinnosti vyplývající z nedodržení předpisů v oblasti PO, je objednatel oprávněn účtovat zhotoviteli smluvní pokutu ve výši 1 000,-Kč za každý případ porušení, formou srážky z celkové ceny díla. Uplatněním smluvní pokuty není dotčen nárok na úhradu vzniklých škod. </w:t>
      </w:r>
    </w:p>
    <w:p w14:paraId="23D8B34C" w14:textId="77777777" w:rsidR="00185D9E" w:rsidRDefault="00185D9E" w:rsidP="00185D9E">
      <w:pPr>
        <w:pStyle w:val="textCharChar"/>
      </w:pPr>
    </w:p>
    <w:p w14:paraId="4B6327C0" w14:textId="0A8030F2" w:rsidR="00185D9E" w:rsidRPr="006F39A2" w:rsidRDefault="00185D9E" w:rsidP="00775C79">
      <w:pPr>
        <w:pStyle w:val="text"/>
      </w:pPr>
      <w:r w:rsidRPr="006F39A2">
        <w:t xml:space="preserve">V Brně, dne </w:t>
      </w:r>
      <w:r w:rsidR="00775C79" w:rsidRPr="00775C79">
        <w:t>…………</w:t>
      </w:r>
      <w:r w:rsidR="00775C79" w:rsidRPr="002A0D5B">
        <w:t xml:space="preserve">  </w:t>
      </w:r>
    </w:p>
    <w:p w14:paraId="2C809212" w14:textId="5B708272" w:rsidR="00775C79" w:rsidRDefault="00775C79" w:rsidP="00185D9E">
      <w:pPr>
        <w:pStyle w:val="textCharChar"/>
        <w:rPr>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tblGrid>
      <w:tr w:rsidR="00775C79" w14:paraId="5A80CAD1" w14:textId="77777777" w:rsidTr="00235D37">
        <w:trPr>
          <w:cnfStyle w:val="100000000000" w:firstRow="1" w:lastRow="0" w:firstColumn="0" w:lastColumn="0" w:oddVBand="0" w:evenVBand="0" w:oddHBand="0" w:evenHBand="0" w:firstRowFirstColumn="0" w:firstRowLastColumn="0" w:lastRowFirstColumn="0" w:lastRowLastColumn="0"/>
          <w:trHeight w:val="774"/>
        </w:trPr>
        <w:tc>
          <w:tcPr>
            <w:tcW w:w="4889" w:type="dxa"/>
            <w:shd w:val="clear" w:color="auto" w:fill="auto"/>
            <w:vAlign w:val="bottom"/>
          </w:tcPr>
          <w:p w14:paraId="357C3EF7" w14:textId="6FB75035" w:rsidR="00775C79" w:rsidRDefault="00235D37" w:rsidP="00235D37">
            <w:pPr>
              <w:pStyle w:val="text"/>
              <w:rPr>
                <w:sz w:val="20"/>
                <w:szCs w:val="20"/>
              </w:rPr>
            </w:pPr>
            <w:r w:rsidRPr="00775C79">
              <w:t>……………………</w:t>
            </w:r>
          </w:p>
        </w:tc>
        <w:tc>
          <w:tcPr>
            <w:tcW w:w="4889" w:type="dxa"/>
            <w:shd w:val="clear" w:color="auto" w:fill="auto"/>
            <w:vAlign w:val="bottom"/>
          </w:tcPr>
          <w:p w14:paraId="7A885062" w14:textId="191C4E0D" w:rsidR="00775C79" w:rsidRDefault="00235D37" w:rsidP="00235D37">
            <w:pPr>
              <w:pStyle w:val="text"/>
              <w:rPr>
                <w:sz w:val="20"/>
                <w:szCs w:val="20"/>
              </w:rPr>
            </w:pPr>
            <w:r w:rsidRPr="00775C79">
              <w:t>……………………</w:t>
            </w:r>
          </w:p>
        </w:tc>
      </w:tr>
      <w:tr w:rsidR="00775C79" w14:paraId="30B2CC36" w14:textId="77777777" w:rsidTr="00775C79">
        <w:tc>
          <w:tcPr>
            <w:tcW w:w="4889" w:type="dxa"/>
            <w:shd w:val="clear" w:color="auto" w:fill="auto"/>
          </w:tcPr>
          <w:p w14:paraId="19F1A0A6" w14:textId="3CC8FB29" w:rsidR="00775C79" w:rsidRDefault="00775C79" w:rsidP="00235D37">
            <w:pPr>
              <w:pStyle w:val="text"/>
            </w:pPr>
            <w:r w:rsidRPr="006F39A2">
              <w:t>za objednatele</w:t>
            </w:r>
          </w:p>
        </w:tc>
        <w:tc>
          <w:tcPr>
            <w:tcW w:w="4889" w:type="dxa"/>
            <w:shd w:val="clear" w:color="auto" w:fill="auto"/>
          </w:tcPr>
          <w:p w14:paraId="65ACC948" w14:textId="6BCF274C" w:rsidR="00775C79" w:rsidRDefault="00775C79" w:rsidP="00235D37">
            <w:pPr>
              <w:pStyle w:val="text"/>
            </w:pPr>
            <w:r w:rsidRPr="006F39A2">
              <w:t>za zhotovitele</w:t>
            </w:r>
          </w:p>
        </w:tc>
      </w:tr>
    </w:tbl>
    <w:p w14:paraId="06493B51" w14:textId="77777777" w:rsidR="00775C79" w:rsidRPr="006F39A2" w:rsidRDefault="00775C79" w:rsidP="00185D9E">
      <w:pPr>
        <w:pStyle w:val="textCharChar"/>
        <w:rPr>
          <w:sz w:val="20"/>
          <w:szCs w:val="20"/>
        </w:rPr>
      </w:pPr>
    </w:p>
    <w:p w14:paraId="02B74642" w14:textId="77777777" w:rsidR="00185D9E" w:rsidRPr="002E6982" w:rsidRDefault="00185D9E" w:rsidP="00185D9E">
      <w:pPr>
        <w:pStyle w:val="text"/>
      </w:pPr>
    </w:p>
    <w:sectPr w:rsidR="00185D9E" w:rsidRPr="002E6982" w:rsidSect="00323DDA">
      <w:headerReference w:type="default" r:id="rId7"/>
      <w:footerReference w:type="default" r:id="rId8"/>
      <w:pgSz w:w="11907" w:h="16840" w:code="9"/>
      <w:pgMar w:top="1418" w:right="851" w:bottom="851" w:left="1418" w:header="851" w:footer="42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7DBE" w14:textId="77777777" w:rsidR="00472C9C" w:rsidRDefault="00472C9C">
      <w:r>
        <w:separator/>
      </w:r>
    </w:p>
  </w:endnote>
  <w:endnote w:type="continuationSeparator" w:id="0">
    <w:p w14:paraId="21681A0B" w14:textId="77777777" w:rsidR="00472C9C" w:rsidRDefault="0047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E0F6" w14:textId="77777777" w:rsidR="00D81276" w:rsidRDefault="00D81276" w:rsidP="0058417B">
    <w:pPr>
      <w:pStyle w:val="Zpat"/>
      <w:jc w:val="right"/>
    </w:pPr>
    <w:r>
      <w:rPr>
        <w:szCs w:val="18"/>
      </w:rPr>
      <w:t xml:space="preserve">Strana </w:t>
    </w:r>
    <w:r w:rsidRPr="00977DA5">
      <w:rPr>
        <w:szCs w:val="18"/>
      </w:rPr>
      <w:fldChar w:fldCharType="begin"/>
    </w:r>
    <w:r w:rsidRPr="00977DA5">
      <w:rPr>
        <w:szCs w:val="18"/>
      </w:rPr>
      <w:instrText xml:space="preserve"> PAGE </w:instrText>
    </w:r>
    <w:r w:rsidRPr="00977DA5">
      <w:rPr>
        <w:szCs w:val="18"/>
      </w:rPr>
      <w:fldChar w:fldCharType="separate"/>
    </w:r>
    <w:r w:rsidR="00AC658C">
      <w:rPr>
        <w:noProof/>
        <w:szCs w:val="18"/>
      </w:rPr>
      <w:t>1</w:t>
    </w:r>
    <w:r w:rsidRPr="00977DA5">
      <w:rPr>
        <w:szCs w:val="18"/>
      </w:rPr>
      <w:fldChar w:fldCharType="end"/>
    </w:r>
    <w:r>
      <w:rPr>
        <w:szCs w:val="18"/>
      </w:rPr>
      <w:t xml:space="preserve"> / </w:t>
    </w:r>
    <w:r w:rsidRPr="00977DA5">
      <w:rPr>
        <w:szCs w:val="18"/>
      </w:rPr>
      <w:fldChar w:fldCharType="begin"/>
    </w:r>
    <w:r w:rsidRPr="00977DA5">
      <w:rPr>
        <w:szCs w:val="18"/>
      </w:rPr>
      <w:instrText xml:space="preserve"> NUMPAGES   \* MERGEFORMAT </w:instrText>
    </w:r>
    <w:r w:rsidRPr="00977DA5">
      <w:rPr>
        <w:szCs w:val="18"/>
      </w:rPr>
      <w:fldChar w:fldCharType="separate"/>
    </w:r>
    <w:r w:rsidR="00AC658C">
      <w:rPr>
        <w:noProof/>
        <w:szCs w:val="18"/>
      </w:rPr>
      <w:t>1</w:t>
    </w:r>
    <w:r w:rsidRPr="00977DA5">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6DF8" w14:textId="77777777" w:rsidR="00472C9C" w:rsidRDefault="00472C9C">
      <w:r>
        <w:separator/>
      </w:r>
    </w:p>
  </w:footnote>
  <w:footnote w:type="continuationSeparator" w:id="0">
    <w:p w14:paraId="42EE2711" w14:textId="77777777" w:rsidR="00472C9C" w:rsidRDefault="0047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28" w:type="dxa"/>
      <w:tblBorders>
        <w:bottom w:val="single" w:sz="12" w:space="0" w:color="F7941D"/>
      </w:tblBorders>
      <w:tblLayout w:type="fixed"/>
      <w:tblCellMar>
        <w:left w:w="28" w:type="dxa"/>
        <w:right w:w="28" w:type="dxa"/>
      </w:tblCellMar>
      <w:tblLook w:val="0000" w:firstRow="0" w:lastRow="0" w:firstColumn="0" w:lastColumn="0" w:noHBand="0" w:noVBand="0"/>
    </w:tblPr>
    <w:tblGrid>
      <w:gridCol w:w="3686"/>
      <w:gridCol w:w="1984"/>
      <w:gridCol w:w="3969"/>
    </w:tblGrid>
    <w:tr w:rsidR="00CA4FF5" w:rsidRPr="00E30DC2" w14:paraId="4DC14D91" w14:textId="77777777" w:rsidTr="00412154">
      <w:trPr>
        <w:cantSplit/>
        <w:trHeight w:hRule="exact" w:val="709"/>
      </w:trPr>
      <w:tc>
        <w:tcPr>
          <w:tcW w:w="3686" w:type="dxa"/>
          <w:tcBorders>
            <w:bottom w:val="nil"/>
          </w:tcBorders>
          <w:vAlign w:val="center"/>
        </w:tcPr>
        <w:p w14:paraId="6EDFF21B" w14:textId="77777777" w:rsidR="00CA4FF5" w:rsidRPr="005E700A" w:rsidRDefault="00CA4FF5" w:rsidP="00CA4FF5">
          <w:pPr>
            <w:pStyle w:val="Kapitola"/>
          </w:pPr>
          <w:r w:rsidRPr="005E700A">
            <w:t>DIRS Brno s.r.o.</w:t>
          </w:r>
        </w:p>
        <w:p w14:paraId="2057F125" w14:textId="77777777" w:rsidR="00CA4FF5" w:rsidRPr="005E700A" w:rsidRDefault="00CA4FF5" w:rsidP="00CA4FF5">
          <w:pPr>
            <w:pStyle w:val="text"/>
          </w:pPr>
          <w:r w:rsidRPr="005E700A">
            <w:t>Jihlavská 731/38</w:t>
          </w:r>
        </w:p>
        <w:p w14:paraId="68CACB51" w14:textId="77777777" w:rsidR="00CA4FF5" w:rsidRPr="00B43C4F" w:rsidRDefault="00CA4FF5" w:rsidP="00CA4FF5">
          <w:pPr>
            <w:pStyle w:val="text"/>
          </w:pPr>
          <w:r w:rsidRPr="005E700A">
            <w:t>Bosonohy, 642 00 Brno</w:t>
          </w:r>
        </w:p>
      </w:tc>
      <w:tc>
        <w:tcPr>
          <w:tcW w:w="1984" w:type="dxa"/>
          <w:tcBorders>
            <w:bottom w:val="nil"/>
          </w:tcBorders>
          <w:vAlign w:val="bottom"/>
        </w:tcPr>
        <w:p w14:paraId="46E6C914" w14:textId="77777777" w:rsidR="00CA4FF5" w:rsidRPr="006722E2" w:rsidRDefault="00CA4FF5" w:rsidP="00CA4FF5">
          <w:pPr>
            <w:pStyle w:val="text"/>
            <w:jc w:val="center"/>
            <w:rPr>
              <w:b/>
              <w:sz w:val="20"/>
              <w:szCs w:val="20"/>
            </w:rPr>
          </w:pPr>
        </w:p>
      </w:tc>
      <w:tc>
        <w:tcPr>
          <w:tcW w:w="3969" w:type="dxa"/>
          <w:tcBorders>
            <w:bottom w:val="nil"/>
          </w:tcBorders>
          <w:vAlign w:val="center"/>
        </w:tcPr>
        <w:p w14:paraId="1EBCD843" w14:textId="77777777" w:rsidR="00CA4FF5" w:rsidRPr="00587224" w:rsidRDefault="00C12A95" w:rsidP="00CA4FF5">
          <w:pPr>
            <w:pStyle w:val="text"/>
            <w:jc w:val="right"/>
            <w:rPr>
              <w:color w:val="FF0000"/>
              <w:sz w:val="16"/>
              <w:szCs w:val="18"/>
            </w:rPr>
          </w:pPr>
          <w:r w:rsidRPr="005F4A28">
            <w:rPr>
              <w:noProof/>
            </w:rPr>
            <w:drawing>
              <wp:inline distT="0" distB="0" distL="0" distR="0" wp14:anchorId="29B20A9F" wp14:editId="2E4E372D">
                <wp:extent cx="855980" cy="475615"/>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475615"/>
                        </a:xfrm>
                        <a:prstGeom prst="rect">
                          <a:avLst/>
                        </a:prstGeom>
                        <a:noFill/>
                        <a:ln>
                          <a:noFill/>
                        </a:ln>
                      </pic:spPr>
                    </pic:pic>
                  </a:graphicData>
                </a:graphic>
              </wp:inline>
            </w:drawing>
          </w:r>
        </w:p>
      </w:tc>
    </w:tr>
  </w:tbl>
  <w:p w14:paraId="0BC99B9B" w14:textId="77777777" w:rsidR="00D81276" w:rsidRPr="00FE1C95" w:rsidRDefault="00D81276" w:rsidP="00FE1C95">
    <w:pPr>
      <w:pStyle w:val="tex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72B"/>
    <w:multiLevelType w:val="hybridMultilevel"/>
    <w:tmpl w:val="86420306"/>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846566"/>
    <w:multiLevelType w:val="multilevel"/>
    <w:tmpl w:val="F2D45AA8"/>
    <w:lvl w:ilvl="0">
      <w:start w:val="1"/>
      <w:numFmt w:val="decimal"/>
      <w:pStyle w:val="Nadpis1"/>
      <w:suff w:val="space"/>
      <w:lvlText w:val="%1"/>
      <w:lvlJc w:val="left"/>
      <w:pPr>
        <w:ind w:left="284" w:hanging="284"/>
      </w:pPr>
      <w:rPr>
        <w:rFonts w:hint="default"/>
      </w:rPr>
    </w:lvl>
    <w:lvl w:ilvl="1">
      <w:start w:val="1"/>
      <w:numFmt w:val="decimal"/>
      <w:pStyle w:val="Nadpis2"/>
      <w:suff w:val="space"/>
      <w:lvlText w:val="%1.%2"/>
      <w:lvlJc w:val="left"/>
      <w:pPr>
        <w:ind w:left="567" w:hanging="567"/>
      </w:pPr>
      <w:rPr>
        <w:rFonts w:hint="default"/>
      </w:rPr>
    </w:lvl>
    <w:lvl w:ilvl="2">
      <w:start w:val="1"/>
      <w:numFmt w:val="decimal"/>
      <w:pStyle w:val="Nadpis3"/>
      <w:suff w:val="space"/>
      <w:lvlText w:val="%1.%2.%3"/>
      <w:lvlJc w:val="left"/>
      <w:pPr>
        <w:ind w:left="851" w:hanging="851"/>
      </w:pPr>
      <w:rPr>
        <w:rFonts w:hint="default"/>
      </w:rPr>
    </w:lvl>
    <w:lvl w:ilvl="3">
      <w:start w:val="1"/>
      <w:numFmt w:val="decimal"/>
      <w:pStyle w:val="Nadpis4"/>
      <w:suff w:val="space"/>
      <w:lvlText w:val="%1.%2.%3.%4"/>
      <w:lvlJc w:val="left"/>
      <w:pPr>
        <w:ind w:left="1134" w:hanging="1134"/>
      </w:pPr>
      <w:rPr>
        <w:rFonts w:hint="default"/>
      </w:rPr>
    </w:lvl>
    <w:lvl w:ilvl="4">
      <w:start w:val="1"/>
      <w:numFmt w:val="decimal"/>
      <w:pStyle w:val="Nadpis5"/>
      <w:suff w:val="space"/>
      <w:lvlText w:val="%1.%2.%3.%4.%5"/>
      <w:lvlJc w:val="left"/>
      <w:pPr>
        <w:ind w:left="1418" w:hanging="1418"/>
      </w:pPr>
      <w:rPr>
        <w:rFonts w:hint="default"/>
      </w:rPr>
    </w:lvl>
    <w:lvl w:ilvl="5">
      <w:start w:val="1"/>
      <w:numFmt w:val="decimal"/>
      <w:pStyle w:val="Nadpis6"/>
      <w:lvlText w:val="%1.%2.%3.%4.%5.%6"/>
      <w:lvlJc w:val="left"/>
      <w:pPr>
        <w:tabs>
          <w:tab w:val="num" w:pos="2003"/>
        </w:tabs>
        <w:ind w:left="2003" w:hanging="1152"/>
      </w:pPr>
      <w:rPr>
        <w:rFonts w:hint="default"/>
      </w:rPr>
    </w:lvl>
    <w:lvl w:ilvl="6">
      <w:start w:val="1"/>
      <w:numFmt w:val="decimal"/>
      <w:pStyle w:val="Nadpis7"/>
      <w:lvlText w:val="%1.%2.%3.%4.%5.%6.%7"/>
      <w:lvlJc w:val="left"/>
      <w:pPr>
        <w:tabs>
          <w:tab w:val="num" w:pos="2147"/>
        </w:tabs>
        <w:ind w:left="2147" w:hanging="1296"/>
      </w:pPr>
      <w:rPr>
        <w:rFonts w:hint="default"/>
      </w:rPr>
    </w:lvl>
    <w:lvl w:ilvl="7">
      <w:start w:val="1"/>
      <w:numFmt w:val="decimal"/>
      <w:pStyle w:val="Nadpis8"/>
      <w:lvlText w:val="%1.%2.%3.%4.%5.%6.%7.%8"/>
      <w:lvlJc w:val="left"/>
      <w:pPr>
        <w:tabs>
          <w:tab w:val="num" w:pos="2291"/>
        </w:tabs>
        <w:ind w:left="2291" w:hanging="1440"/>
      </w:pPr>
      <w:rPr>
        <w:rFonts w:hint="default"/>
      </w:rPr>
    </w:lvl>
    <w:lvl w:ilvl="8">
      <w:start w:val="1"/>
      <w:numFmt w:val="decimal"/>
      <w:pStyle w:val="Nadpis9"/>
      <w:lvlText w:val="%1.%2.%3.%4.%5.%6.%7.%8.%9"/>
      <w:lvlJc w:val="left"/>
      <w:pPr>
        <w:tabs>
          <w:tab w:val="num" w:pos="2435"/>
        </w:tabs>
        <w:ind w:left="2435" w:hanging="1584"/>
      </w:pPr>
      <w:rPr>
        <w:rFonts w:hint="default"/>
      </w:rPr>
    </w:lvl>
  </w:abstractNum>
  <w:abstractNum w:abstractNumId="2" w15:restartNumberingAfterBreak="0">
    <w:nsid w:val="158E1E8F"/>
    <w:multiLevelType w:val="multilevel"/>
    <w:tmpl w:val="A9163024"/>
    <w:lvl w:ilvl="0">
      <w:start w:val="1"/>
      <w:numFmt w:val="decimal"/>
      <w:pStyle w:val="Obrzek"/>
      <w:suff w:val="space"/>
      <w:lvlText w:val="Obr. č.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0A0D25"/>
    <w:multiLevelType w:val="hybridMultilevel"/>
    <w:tmpl w:val="0A7CA124"/>
    <w:lvl w:ilvl="0" w:tplc="729E79F6">
      <w:start w:val="1"/>
      <w:numFmt w:val="decimal"/>
      <w:pStyle w:val="Bod"/>
      <w:suff w:val="space"/>
      <w:lvlText w:val="%1. "/>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00639E"/>
    <w:multiLevelType w:val="multilevel"/>
    <w:tmpl w:val="49244036"/>
    <w:lvl w:ilvl="0">
      <w:start w:val="1"/>
      <w:numFmt w:val="decimal"/>
      <w:pStyle w:val="Tabulka"/>
      <w:suff w:val="space"/>
      <w:lvlText w:val="Tab. č.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01A5B6F"/>
    <w:multiLevelType w:val="multilevel"/>
    <w:tmpl w:val="747C1348"/>
    <w:lvl w:ilvl="0">
      <w:start w:val="1"/>
      <w:numFmt w:val="lowerLetter"/>
      <w:lvlText w:val="%1)"/>
      <w:lvlJc w:val="left"/>
      <w:pPr>
        <w:ind w:left="360" w:hanging="360"/>
      </w:pPr>
      <w:rPr>
        <w:rFonts w:hint="default"/>
      </w:rPr>
    </w:lvl>
    <w:lvl w:ilvl="1">
      <w:start w:val="1"/>
      <w:numFmt w:val="lowerLetter"/>
      <w:pStyle w:val="Seznam"/>
      <w:lvlText w:val="%2)"/>
      <w:lvlJc w:val="left"/>
      <w:pPr>
        <w:tabs>
          <w:tab w:val="num" w:pos="284"/>
        </w:tabs>
        <w:ind w:left="284" w:hanging="284"/>
      </w:pPr>
      <w:rPr>
        <w:rFonts w:hint="default"/>
      </w:rPr>
    </w:lvl>
    <w:lvl w:ilvl="2">
      <w:start w:val="1"/>
      <w:numFmt w:val="none"/>
      <w:suff w:val="nothing"/>
      <w:lvlText w:val=""/>
      <w:lvlJc w:val="left"/>
      <w:pPr>
        <w:ind w:left="284" w:hanging="284"/>
      </w:pPr>
      <w:rPr>
        <w:rFonts w:hint="default"/>
      </w:rPr>
    </w:lvl>
    <w:lvl w:ilvl="3">
      <w:start w:val="1"/>
      <w:numFmt w:val="none"/>
      <w:suff w:val="nothing"/>
      <w:lvlText w:val=""/>
      <w:lvlJc w:val="left"/>
      <w:pPr>
        <w:ind w:left="284" w:hanging="284"/>
      </w:pPr>
      <w:rPr>
        <w:rFonts w:hint="default"/>
      </w:rPr>
    </w:lvl>
    <w:lvl w:ilvl="4">
      <w:start w:val="1"/>
      <w:numFmt w:val="none"/>
      <w:suff w:val="nothing"/>
      <w:lvlText w:val=""/>
      <w:lvlJc w:val="left"/>
      <w:pPr>
        <w:ind w:left="284" w:hanging="284"/>
      </w:pPr>
      <w:rPr>
        <w:rFonts w:hint="default"/>
      </w:rPr>
    </w:lvl>
    <w:lvl w:ilvl="5">
      <w:start w:val="1"/>
      <w:numFmt w:val="none"/>
      <w:suff w:val="nothing"/>
      <w:lvlText w:val=""/>
      <w:lvlJc w:val="left"/>
      <w:pPr>
        <w:ind w:left="284" w:hanging="284"/>
      </w:pPr>
      <w:rPr>
        <w:rFonts w:hint="default"/>
      </w:rPr>
    </w:lvl>
    <w:lvl w:ilvl="6">
      <w:start w:val="1"/>
      <w:numFmt w:val="none"/>
      <w:suff w:val="nothing"/>
      <w:lvlText w:val=""/>
      <w:lvlJc w:val="left"/>
      <w:pPr>
        <w:ind w:left="284" w:hanging="284"/>
      </w:pPr>
      <w:rPr>
        <w:rFonts w:hint="default"/>
      </w:rPr>
    </w:lvl>
    <w:lvl w:ilvl="7">
      <w:start w:val="1"/>
      <w:numFmt w:val="none"/>
      <w:suff w:val="nothing"/>
      <w:lvlText w:val=""/>
      <w:lvlJc w:val="left"/>
      <w:pPr>
        <w:ind w:left="284" w:hanging="284"/>
      </w:pPr>
      <w:rPr>
        <w:rFonts w:hint="default"/>
      </w:rPr>
    </w:lvl>
    <w:lvl w:ilvl="8">
      <w:start w:val="1"/>
      <w:numFmt w:val="none"/>
      <w:suff w:val="nothing"/>
      <w:lvlText w:val=""/>
      <w:lvlJc w:val="left"/>
      <w:pPr>
        <w:ind w:left="284" w:hanging="284"/>
      </w:pPr>
      <w:rPr>
        <w:rFonts w:hint="default"/>
      </w:rPr>
    </w:lvl>
  </w:abstractNum>
  <w:abstractNum w:abstractNumId="6" w15:restartNumberingAfterBreak="0">
    <w:nsid w:val="75A879EF"/>
    <w:multiLevelType w:val="multilevel"/>
    <w:tmpl w:val="88886E38"/>
    <w:lvl w:ilvl="0">
      <w:start w:val="1"/>
      <w:numFmt w:val="bullet"/>
      <w:pStyle w:val="odrky"/>
      <w:lvlText w:val="►"/>
      <w:lvlJc w:val="left"/>
      <w:pPr>
        <w:tabs>
          <w:tab w:val="num" w:pos="454"/>
        </w:tabs>
        <w:ind w:left="454" w:hanging="227"/>
      </w:pPr>
      <w:rPr>
        <w:rFonts w:ascii="Times New Roman" w:hAnsi="Times New Roman" w:cs="Times New Roman" w:hint="default"/>
        <w:b/>
        <w:i w:val="0"/>
        <w:color w:val="auto"/>
        <w:sz w:val="16"/>
      </w:rPr>
    </w:lvl>
    <w:lvl w:ilvl="1">
      <w:start w:val="1"/>
      <w:numFmt w:val="bullet"/>
      <w:lvlText w:val=""/>
      <w:lvlJc w:val="left"/>
      <w:pPr>
        <w:tabs>
          <w:tab w:val="num" w:pos="681"/>
        </w:tabs>
        <w:ind w:left="681" w:hanging="227"/>
      </w:pPr>
      <w:rPr>
        <w:rFonts w:ascii="Wingdings" w:hAnsi="Wingdings" w:hint="default"/>
        <w:color w:val="auto"/>
      </w:rPr>
    </w:lvl>
    <w:lvl w:ilvl="2">
      <w:start w:val="1"/>
      <w:numFmt w:val="bullet"/>
      <w:lvlText w:val=""/>
      <w:lvlJc w:val="left"/>
      <w:pPr>
        <w:tabs>
          <w:tab w:val="num" w:pos="851"/>
        </w:tabs>
        <w:ind w:left="851" w:hanging="227"/>
      </w:pPr>
      <w:rPr>
        <w:rFonts w:ascii="Symbol" w:hAnsi="Symbol" w:hint="default"/>
        <w:color w:val="auto"/>
      </w:rPr>
    </w:lvl>
    <w:lvl w:ilvl="3">
      <w:start w:val="1"/>
      <w:numFmt w:val="bullet"/>
      <w:lvlText w:val=""/>
      <w:lvlJc w:val="left"/>
      <w:pPr>
        <w:tabs>
          <w:tab w:val="num" w:pos="1021"/>
        </w:tabs>
        <w:ind w:left="1021" w:hanging="227"/>
      </w:pPr>
      <w:rPr>
        <w:rFonts w:ascii="Wingdings" w:hAnsi="Wingdings" w:hint="default"/>
        <w:color w:val="auto"/>
      </w:rPr>
    </w:lvl>
    <w:lvl w:ilvl="4">
      <w:start w:val="1"/>
      <w:numFmt w:val="bullet"/>
      <w:lvlText w:val="–"/>
      <w:lvlJc w:val="left"/>
      <w:pPr>
        <w:tabs>
          <w:tab w:val="num" w:pos="1191"/>
        </w:tabs>
        <w:ind w:left="1191" w:hanging="227"/>
      </w:pPr>
      <w:rPr>
        <w:rFonts w:ascii="Arial Narrow" w:hAnsi="Arial Narrow" w:hint="default"/>
        <w:color w:val="auto"/>
      </w:rPr>
    </w:lvl>
    <w:lvl w:ilvl="5">
      <w:start w:val="1"/>
      <w:numFmt w:val="bullet"/>
      <w:lvlText w:val="›"/>
      <w:lvlJc w:val="left"/>
      <w:pPr>
        <w:tabs>
          <w:tab w:val="num" w:pos="1361"/>
        </w:tabs>
        <w:ind w:left="1361" w:hanging="227"/>
      </w:pPr>
      <w:rPr>
        <w:rFonts w:ascii="Times New Roman" w:hAnsi="Times New Roman" w:cs="Times New Roman" w:hint="default"/>
        <w:color w:val="auto"/>
      </w:rPr>
    </w:lvl>
    <w:lvl w:ilvl="6">
      <w:start w:val="1"/>
      <w:numFmt w:val="bullet"/>
      <w:lvlText w:val="›"/>
      <w:lvlJc w:val="left"/>
      <w:pPr>
        <w:tabs>
          <w:tab w:val="num" w:pos="1531"/>
        </w:tabs>
        <w:ind w:left="1531" w:hanging="227"/>
      </w:pPr>
      <w:rPr>
        <w:rFonts w:ascii="Times New Roman" w:hAnsi="Times New Roman" w:cs="Times New Roman" w:hint="default"/>
        <w:color w:val="auto"/>
      </w:rPr>
    </w:lvl>
    <w:lvl w:ilvl="7">
      <w:start w:val="1"/>
      <w:numFmt w:val="bullet"/>
      <w:lvlText w:val="›"/>
      <w:lvlJc w:val="left"/>
      <w:pPr>
        <w:tabs>
          <w:tab w:val="num" w:pos="1701"/>
        </w:tabs>
        <w:ind w:left="1701" w:hanging="227"/>
      </w:pPr>
      <w:rPr>
        <w:rFonts w:ascii="Times New Roman" w:hAnsi="Times New Roman" w:cs="Times New Roman" w:hint="default"/>
        <w:color w:val="auto"/>
      </w:rPr>
    </w:lvl>
    <w:lvl w:ilvl="8">
      <w:start w:val="1"/>
      <w:numFmt w:val="bullet"/>
      <w:lvlText w:val="›"/>
      <w:lvlJc w:val="left"/>
      <w:pPr>
        <w:tabs>
          <w:tab w:val="num" w:pos="1871"/>
        </w:tabs>
        <w:ind w:left="1871" w:hanging="227"/>
      </w:pPr>
      <w:rPr>
        <w:rFonts w:ascii="Times New Roman" w:hAnsi="Times New Roman" w:cs="Times New Roman" w:hint="default"/>
        <w:color w:val="auto"/>
      </w:rPr>
    </w:lvl>
  </w:abstractNum>
  <w:num w:numId="1" w16cid:durableId="499468874">
    <w:abstractNumId w:val="6"/>
  </w:num>
  <w:num w:numId="2" w16cid:durableId="1500847595">
    <w:abstractNumId w:val="1"/>
  </w:num>
  <w:num w:numId="3" w16cid:durableId="946959657">
    <w:abstractNumId w:val="2"/>
  </w:num>
  <w:num w:numId="4" w16cid:durableId="509375107">
    <w:abstractNumId w:val="4"/>
  </w:num>
  <w:num w:numId="5" w16cid:durableId="1854684990">
    <w:abstractNumId w:val="5"/>
  </w:num>
  <w:num w:numId="6" w16cid:durableId="42063794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3025033">
    <w:abstractNumId w:val="3"/>
  </w:num>
  <w:num w:numId="8" w16cid:durableId="96490242">
    <w:abstractNumId w:val="3"/>
    <w:lvlOverride w:ilvl="0">
      <w:startOverride w:val="1"/>
    </w:lvlOverride>
  </w:num>
  <w:num w:numId="9" w16cid:durableId="1782535011">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E43"/>
    <w:rsid w:val="0000364C"/>
    <w:rsid w:val="00005689"/>
    <w:rsid w:val="0000697B"/>
    <w:rsid w:val="000132D4"/>
    <w:rsid w:val="000141B4"/>
    <w:rsid w:val="000233F7"/>
    <w:rsid w:val="0002386A"/>
    <w:rsid w:val="000263CB"/>
    <w:rsid w:val="00030FDA"/>
    <w:rsid w:val="000318C5"/>
    <w:rsid w:val="00031983"/>
    <w:rsid w:val="000323DF"/>
    <w:rsid w:val="0003647D"/>
    <w:rsid w:val="000415A0"/>
    <w:rsid w:val="00042AEB"/>
    <w:rsid w:val="0005411F"/>
    <w:rsid w:val="00055F8C"/>
    <w:rsid w:val="0006020A"/>
    <w:rsid w:val="000722E6"/>
    <w:rsid w:val="0008638F"/>
    <w:rsid w:val="000867CC"/>
    <w:rsid w:val="00092C55"/>
    <w:rsid w:val="000A0060"/>
    <w:rsid w:val="000A0657"/>
    <w:rsid w:val="000A618F"/>
    <w:rsid w:val="000C4236"/>
    <w:rsid w:val="000C43A7"/>
    <w:rsid w:val="000C48E5"/>
    <w:rsid w:val="000C5D60"/>
    <w:rsid w:val="000C777A"/>
    <w:rsid w:val="000D34F3"/>
    <w:rsid w:val="000D3F2E"/>
    <w:rsid w:val="000D433E"/>
    <w:rsid w:val="000D6A37"/>
    <w:rsid w:val="000D7B2F"/>
    <w:rsid w:val="000E19DB"/>
    <w:rsid w:val="000E596C"/>
    <w:rsid w:val="000E65A0"/>
    <w:rsid w:val="001063BB"/>
    <w:rsid w:val="00114434"/>
    <w:rsid w:val="00127D72"/>
    <w:rsid w:val="00127F2D"/>
    <w:rsid w:val="0013379F"/>
    <w:rsid w:val="00137B39"/>
    <w:rsid w:val="0014471A"/>
    <w:rsid w:val="00156350"/>
    <w:rsid w:val="00161329"/>
    <w:rsid w:val="00163EE9"/>
    <w:rsid w:val="00165ED8"/>
    <w:rsid w:val="00171ADC"/>
    <w:rsid w:val="00175838"/>
    <w:rsid w:val="00181569"/>
    <w:rsid w:val="00185D9E"/>
    <w:rsid w:val="001A1AEF"/>
    <w:rsid w:val="001A305C"/>
    <w:rsid w:val="001B3CEE"/>
    <w:rsid w:val="001B5BA9"/>
    <w:rsid w:val="001C01D1"/>
    <w:rsid w:val="001C0B6B"/>
    <w:rsid w:val="001C4465"/>
    <w:rsid w:val="001C49A0"/>
    <w:rsid w:val="001C6F93"/>
    <w:rsid w:val="001D467E"/>
    <w:rsid w:val="001D6DB6"/>
    <w:rsid w:val="001E408F"/>
    <w:rsid w:val="001E555F"/>
    <w:rsid w:val="001F3986"/>
    <w:rsid w:val="001F39B9"/>
    <w:rsid w:val="001F3B5F"/>
    <w:rsid w:val="00205879"/>
    <w:rsid w:val="002319AC"/>
    <w:rsid w:val="00235D37"/>
    <w:rsid w:val="00236D69"/>
    <w:rsid w:val="00240117"/>
    <w:rsid w:val="00244CC4"/>
    <w:rsid w:val="00245866"/>
    <w:rsid w:val="00245E53"/>
    <w:rsid w:val="00266EE2"/>
    <w:rsid w:val="00273FA7"/>
    <w:rsid w:val="00284365"/>
    <w:rsid w:val="00296443"/>
    <w:rsid w:val="002A0B3F"/>
    <w:rsid w:val="002A2519"/>
    <w:rsid w:val="002A5DCB"/>
    <w:rsid w:val="002B096D"/>
    <w:rsid w:val="002B131B"/>
    <w:rsid w:val="002C30CE"/>
    <w:rsid w:val="002C5A7C"/>
    <w:rsid w:val="002D67EE"/>
    <w:rsid w:val="002E4163"/>
    <w:rsid w:val="002E451E"/>
    <w:rsid w:val="002E6982"/>
    <w:rsid w:val="002F04B3"/>
    <w:rsid w:val="00300362"/>
    <w:rsid w:val="00302D6B"/>
    <w:rsid w:val="00311BCD"/>
    <w:rsid w:val="0031378D"/>
    <w:rsid w:val="00314269"/>
    <w:rsid w:val="00314B78"/>
    <w:rsid w:val="00321357"/>
    <w:rsid w:val="00323DDA"/>
    <w:rsid w:val="003254CB"/>
    <w:rsid w:val="003276D0"/>
    <w:rsid w:val="00335F58"/>
    <w:rsid w:val="00337AE3"/>
    <w:rsid w:val="003448E5"/>
    <w:rsid w:val="00353B3E"/>
    <w:rsid w:val="00355932"/>
    <w:rsid w:val="00356566"/>
    <w:rsid w:val="00360472"/>
    <w:rsid w:val="00363259"/>
    <w:rsid w:val="003652E2"/>
    <w:rsid w:val="00375C8D"/>
    <w:rsid w:val="003762E9"/>
    <w:rsid w:val="00376463"/>
    <w:rsid w:val="003826DD"/>
    <w:rsid w:val="00386806"/>
    <w:rsid w:val="003956D4"/>
    <w:rsid w:val="003A0D6F"/>
    <w:rsid w:val="003A516A"/>
    <w:rsid w:val="003A6B8F"/>
    <w:rsid w:val="003A716B"/>
    <w:rsid w:val="003B24C3"/>
    <w:rsid w:val="003B258F"/>
    <w:rsid w:val="003B26EB"/>
    <w:rsid w:val="003B6550"/>
    <w:rsid w:val="003B67E6"/>
    <w:rsid w:val="003C05A4"/>
    <w:rsid w:val="003C69FC"/>
    <w:rsid w:val="003D12D1"/>
    <w:rsid w:val="003D68C7"/>
    <w:rsid w:val="003E0530"/>
    <w:rsid w:val="003E0F4F"/>
    <w:rsid w:val="003E1974"/>
    <w:rsid w:val="003E4F21"/>
    <w:rsid w:val="003E770E"/>
    <w:rsid w:val="003F3965"/>
    <w:rsid w:val="00402CB4"/>
    <w:rsid w:val="00406B8A"/>
    <w:rsid w:val="00412154"/>
    <w:rsid w:val="00417442"/>
    <w:rsid w:val="004234C0"/>
    <w:rsid w:val="00426FC3"/>
    <w:rsid w:val="00441CBB"/>
    <w:rsid w:val="00445F3E"/>
    <w:rsid w:val="00454A8B"/>
    <w:rsid w:val="0046731F"/>
    <w:rsid w:val="00470C3E"/>
    <w:rsid w:val="00472C9C"/>
    <w:rsid w:val="00473236"/>
    <w:rsid w:val="00481C4B"/>
    <w:rsid w:val="00483479"/>
    <w:rsid w:val="00483EBA"/>
    <w:rsid w:val="00486E4E"/>
    <w:rsid w:val="004915B3"/>
    <w:rsid w:val="00491890"/>
    <w:rsid w:val="004977EE"/>
    <w:rsid w:val="004A6084"/>
    <w:rsid w:val="004B470A"/>
    <w:rsid w:val="004C330B"/>
    <w:rsid w:val="004C415E"/>
    <w:rsid w:val="004C5586"/>
    <w:rsid w:val="004D0F25"/>
    <w:rsid w:val="004D1DC4"/>
    <w:rsid w:val="004D1EEA"/>
    <w:rsid w:val="004D27E6"/>
    <w:rsid w:val="004D294F"/>
    <w:rsid w:val="004D2AB4"/>
    <w:rsid w:val="004E2A21"/>
    <w:rsid w:val="004E2DE8"/>
    <w:rsid w:val="004E48B5"/>
    <w:rsid w:val="004E75F1"/>
    <w:rsid w:val="0050173C"/>
    <w:rsid w:val="00505211"/>
    <w:rsid w:val="00511092"/>
    <w:rsid w:val="00512F22"/>
    <w:rsid w:val="00514C9F"/>
    <w:rsid w:val="00515411"/>
    <w:rsid w:val="00542468"/>
    <w:rsid w:val="00546A1B"/>
    <w:rsid w:val="005527AF"/>
    <w:rsid w:val="00556077"/>
    <w:rsid w:val="0056056C"/>
    <w:rsid w:val="005625CE"/>
    <w:rsid w:val="005627AC"/>
    <w:rsid w:val="00563B0D"/>
    <w:rsid w:val="00567563"/>
    <w:rsid w:val="005704BC"/>
    <w:rsid w:val="005710F8"/>
    <w:rsid w:val="00576983"/>
    <w:rsid w:val="0058417B"/>
    <w:rsid w:val="00587224"/>
    <w:rsid w:val="00587378"/>
    <w:rsid w:val="00587CEE"/>
    <w:rsid w:val="00591E39"/>
    <w:rsid w:val="005A4B4F"/>
    <w:rsid w:val="005B3518"/>
    <w:rsid w:val="005B4023"/>
    <w:rsid w:val="005B6786"/>
    <w:rsid w:val="005C7E61"/>
    <w:rsid w:val="005E5DF6"/>
    <w:rsid w:val="005E77F2"/>
    <w:rsid w:val="005F0CE5"/>
    <w:rsid w:val="005F3B3B"/>
    <w:rsid w:val="005F6212"/>
    <w:rsid w:val="005F62C1"/>
    <w:rsid w:val="00603C9B"/>
    <w:rsid w:val="006148CD"/>
    <w:rsid w:val="006379B9"/>
    <w:rsid w:val="006527F2"/>
    <w:rsid w:val="00657524"/>
    <w:rsid w:val="00666E36"/>
    <w:rsid w:val="006673C6"/>
    <w:rsid w:val="00667FA8"/>
    <w:rsid w:val="0067057B"/>
    <w:rsid w:val="00670E34"/>
    <w:rsid w:val="00672017"/>
    <w:rsid w:val="0067221A"/>
    <w:rsid w:val="00674549"/>
    <w:rsid w:val="0067598B"/>
    <w:rsid w:val="0067613F"/>
    <w:rsid w:val="006832A7"/>
    <w:rsid w:val="00685274"/>
    <w:rsid w:val="00686564"/>
    <w:rsid w:val="006906F5"/>
    <w:rsid w:val="00690AF0"/>
    <w:rsid w:val="00691CD1"/>
    <w:rsid w:val="0069321F"/>
    <w:rsid w:val="0069595B"/>
    <w:rsid w:val="006A1D01"/>
    <w:rsid w:val="006A3BFA"/>
    <w:rsid w:val="006B6CBC"/>
    <w:rsid w:val="006B6E6C"/>
    <w:rsid w:val="006C0372"/>
    <w:rsid w:val="006C404D"/>
    <w:rsid w:val="006D41DB"/>
    <w:rsid w:val="006D5F84"/>
    <w:rsid w:val="006E4FE8"/>
    <w:rsid w:val="006E7209"/>
    <w:rsid w:val="006F0A9B"/>
    <w:rsid w:val="006F1A43"/>
    <w:rsid w:val="00703BD2"/>
    <w:rsid w:val="007069E4"/>
    <w:rsid w:val="00706B89"/>
    <w:rsid w:val="007105FD"/>
    <w:rsid w:val="007112D9"/>
    <w:rsid w:val="007116B7"/>
    <w:rsid w:val="0071489A"/>
    <w:rsid w:val="0071646A"/>
    <w:rsid w:val="00716697"/>
    <w:rsid w:val="0072234F"/>
    <w:rsid w:val="00724F0C"/>
    <w:rsid w:val="00727454"/>
    <w:rsid w:val="007310B7"/>
    <w:rsid w:val="00731442"/>
    <w:rsid w:val="00734B92"/>
    <w:rsid w:val="007532B0"/>
    <w:rsid w:val="00754106"/>
    <w:rsid w:val="00756D77"/>
    <w:rsid w:val="007666DB"/>
    <w:rsid w:val="007744F7"/>
    <w:rsid w:val="00775B93"/>
    <w:rsid w:val="00775C79"/>
    <w:rsid w:val="00775FF5"/>
    <w:rsid w:val="0078065A"/>
    <w:rsid w:val="007824C3"/>
    <w:rsid w:val="007913F9"/>
    <w:rsid w:val="00796AF7"/>
    <w:rsid w:val="007978FC"/>
    <w:rsid w:val="007A1199"/>
    <w:rsid w:val="007A29BE"/>
    <w:rsid w:val="007B0EBD"/>
    <w:rsid w:val="007B2197"/>
    <w:rsid w:val="007B2DB7"/>
    <w:rsid w:val="007B384A"/>
    <w:rsid w:val="007B55CF"/>
    <w:rsid w:val="007B733C"/>
    <w:rsid w:val="007C433D"/>
    <w:rsid w:val="007D0FDD"/>
    <w:rsid w:val="007D10DF"/>
    <w:rsid w:val="007D20BD"/>
    <w:rsid w:val="007D26A4"/>
    <w:rsid w:val="007D75BF"/>
    <w:rsid w:val="007E06E2"/>
    <w:rsid w:val="007E66F1"/>
    <w:rsid w:val="007E756B"/>
    <w:rsid w:val="007F0EDF"/>
    <w:rsid w:val="007F2026"/>
    <w:rsid w:val="007F57AF"/>
    <w:rsid w:val="00805488"/>
    <w:rsid w:val="00807C19"/>
    <w:rsid w:val="008118C8"/>
    <w:rsid w:val="00812DCF"/>
    <w:rsid w:val="00813A1C"/>
    <w:rsid w:val="00824753"/>
    <w:rsid w:val="008249C9"/>
    <w:rsid w:val="00827C42"/>
    <w:rsid w:val="008301F7"/>
    <w:rsid w:val="008312D4"/>
    <w:rsid w:val="0083420C"/>
    <w:rsid w:val="00840674"/>
    <w:rsid w:val="00846765"/>
    <w:rsid w:val="00850531"/>
    <w:rsid w:val="00850A08"/>
    <w:rsid w:val="00852D25"/>
    <w:rsid w:val="008538A2"/>
    <w:rsid w:val="00855DA4"/>
    <w:rsid w:val="008609FB"/>
    <w:rsid w:val="00867C41"/>
    <w:rsid w:val="0087008C"/>
    <w:rsid w:val="0087051F"/>
    <w:rsid w:val="008745A3"/>
    <w:rsid w:val="00876A20"/>
    <w:rsid w:val="008806C2"/>
    <w:rsid w:val="00881747"/>
    <w:rsid w:val="00885D90"/>
    <w:rsid w:val="00890737"/>
    <w:rsid w:val="00893BC6"/>
    <w:rsid w:val="00895441"/>
    <w:rsid w:val="008A4CB0"/>
    <w:rsid w:val="008A6A13"/>
    <w:rsid w:val="008A70CB"/>
    <w:rsid w:val="008B78C9"/>
    <w:rsid w:val="008C53F5"/>
    <w:rsid w:val="008C7E43"/>
    <w:rsid w:val="008D2002"/>
    <w:rsid w:val="008D20A5"/>
    <w:rsid w:val="008D423E"/>
    <w:rsid w:val="008E3F8E"/>
    <w:rsid w:val="008E5CEC"/>
    <w:rsid w:val="008F1818"/>
    <w:rsid w:val="008F54A0"/>
    <w:rsid w:val="00900D47"/>
    <w:rsid w:val="0090131E"/>
    <w:rsid w:val="009025E6"/>
    <w:rsid w:val="009074F6"/>
    <w:rsid w:val="00910773"/>
    <w:rsid w:val="009136BF"/>
    <w:rsid w:val="00915AC7"/>
    <w:rsid w:val="00922DA9"/>
    <w:rsid w:val="00926B5E"/>
    <w:rsid w:val="00940042"/>
    <w:rsid w:val="00950C66"/>
    <w:rsid w:val="00952BEC"/>
    <w:rsid w:val="00955087"/>
    <w:rsid w:val="00955CE4"/>
    <w:rsid w:val="009646BE"/>
    <w:rsid w:val="00965CDF"/>
    <w:rsid w:val="00966ED8"/>
    <w:rsid w:val="00970780"/>
    <w:rsid w:val="0097351B"/>
    <w:rsid w:val="00973F00"/>
    <w:rsid w:val="00983090"/>
    <w:rsid w:val="00983ACE"/>
    <w:rsid w:val="009841AC"/>
    <w:rsid w:val="00984A26"/>
    <w:rsid w:val="00985343"/>
    <w:rsid w:val="009855CD"/>
    <w:rsid w:val="00991584"/>
    <w:rsid w:val="0099203B"/>
    <w:rsid w:val="009A4047"/>
    <w:rsid w:val="009A4D0B"/>
    <w:rsid w:val="009A64F2"/>
    <w:rsid w:val="009B1797"/>
    <w:rsid w:val="009C6DC8"/>
    <w:rsid w:val="009E4C3C"/>
    <w:rsid w:val="009F3ED1"/>
    <w:rsid w:val="009F438F"/>
    <w:rsid w:val="009F648D"/>
    <w:rsid w:val="009F6703"/>
    <w:rsid w:val="00A006D0"/>
    <w:rsid w:val="00A00B57"/>
    <w:rsid w:val="00A043F4"/>
    <w:rsid w:val="00A05723"/>
    <w:rsid w:val="00A068A9"/>
    <w:rsid w:val="00A2187A"/>
    <w:rsid w:val="00A22C32"/>
    <w:rsid w:val="00A2455D"/>
    <w:rsid w:val="00A262FC"/>
    <w:rsid w:val="00A33D78"/>
    <w:rsid w:val="00A36D9E"/>
    <w:rsid w:val="00A5057C"/>
    <w:rsid w:val="00A6380D"/>
    <w:rsid w:val="00A65E2C"/>
    <w:rsid w:val="00A72B17"/>
    <w:rsid w:val="00A74B21"/>
    <w:rsid w:val="00A75495"/>
    <w:rsid w:val="00A859D9"/>
    <w:rsid w:val="00A87EFF"/>
    <w:rsid w:val="00A909F1"/>
    <w:rsid w:val="00A9222D"/>
    <w:rsid w:val="00A96B5A"/>
    <w:rsid w:val="00AA0B19"/>
    <w:rsid w:val="00AA0C41"/>
    <w:rsid w:val="00AB01B0"/>
    <w:rsid w:val="00AB7B66"/>
    <w:rsid w:val="00AC389B"/>
    <w:rsid w:val="00AC658C"/>
    <w:rsid w:val="00AD31F2"/>
    <w:rsid w:val="00AD7ABB"/>
    <w:rsid w:val="00AE04A6"/>
    <w:rsid w:val="00AE19D8"/>
    <w:rsid w:val="00AE74EE"/>
    <w:rsid w:val="00AF49AC"/>
    <w:rsid w:val="00AF5A92"/>
    <w:rsid w:val="00AF6F10"/>
    <w:rsid w:val="00B00787"/>
    <w:rsid w:val="00B01665"/>
    <w:rsid w:val="00B02D16"/>
    <w:rsid w:val="00B06682"/>
    <w:rsid w:val="00B07630"/>
    <w:rsid w:val="00B137A9"/>
    <w:rsid w:val="00B16574"/>
    <w:rsid w:val="00B23359"/>
    <w:rsid w:val="00B25996"/>
    <w:rsid w:val="00B31ACB"/>
    <w:rsid w:val="00B329E1"/>
    <w:rsid w:val="00B32DF4"/>
    <w:rsid w:val="00B37913"/>
    <w:rsid w:val="00B448D6"/>
    <w:rsid w:val="00B5139D"/>
    <w:rsid w:val="00B524D1"/>
    <w:rsid w:val="00B602C3"/>
    <w:rsid w:val="00B64D66"/>
    <w:rsid w:val="00B70286"/>
    <w:rsid w:val="00B70A70"/>
    <w:rsid w:val="00B72C22"/>
    <w:rsid w:val="00B7355A"/>
    <w:rsid w:val="00B75285"/>
    <w:rsid w:val="00B815CC"/>
    <w:rsid w:val="00B81D53"/>
    <w:rsid w:val="00B83858"/>
    <w:rsid w:val="00B95E1B"/>
    <w:rsid w:val="00B9748F"/>
    <w:rsid w:val="00BA5080"/>
    <w:rsid w:val="00BA5EA2"/>
    <w:rsid w:val="00BA5FF5"/>
    <w:rsid w:val="00BA66A6"/>
    <w:rsid w:val="00BB0A4B"/>
    <w:rsid w:val="00BB2E22"/>
    <w:rsid w:val="00BB4A66"/>
    <w:rsid w:val="00BB6B34"/>
    <w:rsid w:val="00BC10A3"/>
    <w:rsid w:val="00BC17AC"/>
    <w:rsid w:val="00BC517D"/>
    <w:rsid w:val="00BD3E59"/>
    <w:rsid w:val="00BD6011"/>
    <w:rsid w:val="00BE0137"/>
    <w:rsid w:val="00BE0448"/>
    <w:rsid w:val="00BE0843"/>
    <w:rsid w:val="00BF0545"/>
    <w:rsid w:val="00BF0BF4"/>
    <w:rsid w:val="00C00E7E"/>
    <w:rsid w:val="00C12A95"/>
    <w:rsid w:val="00C14D79"/>
    <w:rsid w:val="00C157F9"/>
    <w:rsid w:val="00C22B36"/>
    <w:rsid w:val="00C241AA"/>
    <w:rsid w:val="00C25C36"/>
    <w:rsid w:val="00C3649D"/>
    <w:rsid w:val="00C3708D"/>
    <w:rsid w:val="00C377D5"/>
    <w:rsid w:val="00C45AED"/>
    <w:rsid w:val="00C467E9"/>
    <w:rsid w:val="00C50858"/>
    <w:rsid w:val="00C55637"/>
    <w:rsid w:val="00C56157"/>
    <w:rsid w:val="00C564A3"/>
    <w:rsid w:val="00C5799D"/>
    <w:rsid w:val="00C65CF2"/>
    <w:rsid w:val="00C730A1"/>
    <w:rsid w:val="00C732F1"/>
    <w:rsid w:val="00C82F3C"/>
    <w:rsid w:val="00C850A9"/>
    <w:rsid w:val="00C85D1A"/>
    <w:rsid w:val="00C93CFE"/>
    <w:rsid w:val="00C960FC"/>
    <w:rsid w:val="00CA2F58"/>
    <w:rsid w:val="00CA4FF5"/>
    <w:rsid w:val="00CB23C3"/>
    <w:rsid w:val="00CB42D6"/>
    <w:rsid w:val="00CC1D16"/>
    <w:rsid w:val="00CC20D7"/>
    <w:rsid w:val="00CC5DA5"/>
    <w:rsid w:val="00CD0325"/>
    <w:rsid w:val="00CD39C0"/>
    <w:rsid w:val="00CD3C21"/>
    <w:rsid w:val="00CD5B6E"/>
    <w:rsid w:val="00CD7553"/>
    <w:rsid w:val="00CE05EE"/>
    <w:rsid w:val="00CE2AB2"/>
    <w:rsid w:val="00CE31ED"/>
    <w:rsid w:val="00CE700D"/>
    <w:rsid w:val="00CF2F01"/>
    <w:rsid w:val="00CF33DF"/>
    <w:rsid w:val="00CF4179"/>
    <w:rsid w:val="00CF62AC"/>
    <w:rsid w:val="00D02F6D"/>
    <w:rsid w:val="00D05D5D"/>
    <w:rsid w:val="00D07168"/>
    <w:rsid w:val="00D1319D"/>
    <w:rsid w:val="00D373E3"/>
    <w:rsid w:val="00D37E0A"/>
    <w:rsid w:val="00D467F2"/>
    <w:rsid w:val="00D51720"/>
    <w:rsid w:val="00D51E8A"/>
    <w:rsid w:val="00D63556"/>
    <w:rsid w:val="00D669AC"/>
    <w:rsid w:val="00D727F4"/>
    <w:rsid w:val="00D72DF5"/>
    <w:rsid w:val="00D7727B"/>
    <w:rsid w:val="00D81276"/>
    <w:rsid w:val="00D82090"/>
    <w:rsid w:val="00D82FAC"/>
    <w:rsid w:val="00D9100A"/>
    <w:rsid w:val="00D9669A"/>
    <w:rsid w:val="00DA08D6"/>
    <w:rsid w:val="00DA161A"/>
    <w:rsid w:val="00DA1BD8"/>
    <w:rsid w:val="00DA58DA"/>
    <w:rsid w:val="00DA7197"/>
    <w:rsid w:val="00DB2268"/>
    <w:rsid w:val="00DB3BA3"/>
    <w:rsid w:val="00DB42E7"/>
    <w:rsid w:val="00DB7997"/>
    <w:rsid w:val="00DC2DE6"/>
    <w:rsid w:val="00DC473A"/>
    <w:rsid w:val="00DC57E5"/>
    <w:rsid w:val="00DD319C"/>
    <w:rsid w:val="00DD34E9"/>
    <w:rsid w:val="00DE4BB3"/>
    <w:rsid w:val="00DE6E28"/>
    <w:rsid w:val="00DF2ED3"/>
    <w:rsid w:val="00DF48FE"/>
    <w:rsid w:val="00DF6065"/>
    <w:rsid w:val="00DF6E8E"/>
    <w:rsid w:val="00E07341"/>
    <w:rsid w:val="00E11D6F"/>
    <w:rsid w:val="00E13352"/>
    <w:rsid w:val="00E20423"/>
    <w:rsid w:val="00E21297"/>
    <w:rsid w:val="00E22E82"/>
    <w:rsid w:val="00E30DC2"/>
    <w:rsid w:val="00E40E9F"/>
    <w:rsid w:val="00E5215C"/>
    <w:rsid w:val="00E530AC"/>
    <w:rsid w:val="00E54729"/>
    <w:rsid w:val="00E80D7C"/>
    <w:rsid w:val="00E823FF"/>
    <w:rsid w:val="00E82E0C"/>
    <w:rsid w:val="00E84E57"/>
    <w:rsid w:val="00E8618A"/>
    <w:rsid w:val="00E87B23"/>
    <w:rsid w:val="00E92740"/>
    <w:rsid w:val="00EA53FB"/>
    <w:rsid w:val="00EA565B"/>
    <w:rsid w:val="00EA5A50"/>
    <w:rsid w:val="00EB30C2"/>
    <w:rsid w:val="00EB5060"/>
    <w:rsid w:val="00EC0B57"/>
    <w:rsid w:val="00ED3557"/>
    <w:rsid w:val="00ED57E9"/>
    <w:rsid w:val="00EE451B"/>
    <w:rsid w:val="00EE5263"/>
    <w:rsid w:val="00EE63D7"/>
    <w:rsid w:val="00EF14F8"/>
    <w:rsid w:val="00EF4190"/>
    <w:rsid w:val="00EF5209"/>
    <w:rsid w:val="00F00B29"/>
    <w:rsid w:val="00F16260"/>
    <w:rsid w:val="00F16C11"/>
    <w:rsid w:val="00F207FC"/>
    <w:rsid w:val="00F21AA1"/>
    <w:rsid w:val="00F232C0"/>
    <w:rsid w:val="00F3378C"/>
    <w:rsid w:val="00F35640"/>
    <w:rsid w:val="00F357E5"/>
    <w:rsid w:val="00F361CB"/>
    <w:rsid w:val="00F50775"/>
    <w:rsid w:val="00F51822"/>
    <w:rsid w:val="00F51FCF"/>
    <w:rsid w:val="00F520A1"/>
    <w:rsid w:val="00F55F19"/>
    <w:rsid w:val="00F560FB"/>
    <w:rsid w:val="00F67A6E"/>
    <w:rsid w:val="00F739EC"/>
    <w:rsid w:val="00F772AD"/>
    <w:rsid w:val="00F80282"/>
    <w:rsid w:val="00F871ED"/>
    <w:rsid w:val="00F92E77"/>
    <w:rsid w:val="00FA490D"/>
    <w:rsid w:val="00FA53D1"/>
    <w:rsid w:val="00FA5C2A"/>
    <w:rsid w:val="00FA6855"/>
    <w:rsid w:val="00FB218A"/>
    <w:rsid w:val="00FB3183"/>
    <w:rsid w:val="00FC3F02"/>
    <w:rsid w:val="00FC43E0"/>
    <w:rsid w:val="00FC5B79"/>
    <w:rsid w:val="00FC7097"/>
    <w:rsid w:val="00FE1C95"/>
    <w:rsid w:val="00FE367E"/>
    <w:rsid w:val="00FE6578"/>
    <w:rsid w:val="00FF1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0E66E"/>
  <w15:docId w15:val="{350C3D52-2966-4ABF-AE8E-B0162A81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2" w:qFormat="1"/>
    <w:lsdException w:name="heading 4" w:uiPriority="3"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6"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5D9E"/>
    <w:pPr>
      <w:jc w:val="center"/>
    </w:pPr>
    <w:rPr>
      <w:b/>
      <w:szCs w:val="24"/>
    </w:rPr>
  </w:style>
  <w:style w:type="paragraph" w:styleId="Nadpis1">
    <w:name w:val="heading 1"/>
    <w:next w:val="Nadpis2"/>
    <w:link w:val="Nadpis1Char"/>
    <w:qFormat/>
    <w:rsid w:val="008312D4"/>
    <w:pPr>
      <w:keepNext/>
      <w:numPr>
        <w:numId w:val="2"/>
      </w:numPr>
      <w:suppressAutoHyphens/>
      <w:outlineLvl w:val="0"/>
    </w:pPr>
    <w:rPr>
      <w:rFonts w:ascii="Arial" w:hAnsi="Arial" w:cs="Arial"/>
      <w:b/>
      <w:bCs/>
      <w:caps/>
      <w:kern w:val="32"/>
      <w:sz w:val="22"/>
      <w:szCs w:val="32"/>
    </w:rPr>
  </w:style>
  <w:style w:type="paragraph" w:styleId="Nadpis2">
    <w:name w:val="heading 2"/>
    <w:next w:val="text"/>
    <w:link w:val="Nadpis2Char"/>
    <w:uiPriority w:val="1"/>
    <w:qFormat/>
    <w:rsid w:val="00E40E9F"/>
    <w:pPr>
      <w:keepNext/>
      <w:numPr>
        <w:ilvl w:val="1"/>
        <w:numId w:val="2"/>
      </w:numPr>
      <w:suppressAutoHyphens/>
      <w:outlineLvl w:val="1"/>
    </w:pPr>
    <w:rPr>
      <w:rFonts w:ascii="Arial" w:hAnsi="Arial" w:cs="Arial"/>
      <w:b/>
      <w:bCs/>
      <w:iCs/>
      <w:szCs w:val="28"/>
    </w:rPr>
  </w:style>
  <w:style w:type="paragraph" w:styleId="Nadpis3">
    <w:name w:val="heading 3"/>
    <w:next w:val="text"/>
    <w:link w:val="Nadpis3Char"/>
    <w:uiPriority w:val="2"/>
    <w:qFormat/>
    <w:rsid w:val="00E40E9F"/>
    <w:pPr>
      <w:keepNext/>
      <w:numPr>
        <w:ilvl w:val="2"/>
        <w:numId w:val="2"/>
      </w:numPr>
      <w:suppressAutoHyphens/>
      <w:outlineLvl w:val="2"/>
    </w:pPr>
    <w:rPr>
      <w:rFonts w:ascii="Arial" w:hAnsi="Arial" w:cs="Arial"/>
      <w:b/>
      <w:kern w:val="32"/>
      <w:szCs w:val="26"/>
    </w:rPr>
  </w:style>
  <w:style w:type="paragraph" w:styleId="Nadpis4">
    <w:name w:val="heading 4"/>
    <w:next w:val="text"/>
    <w:link w:val="Nadpis4Char"/>
    <w:uiPriority w:val="3"/>
    <w:qFormat/>
    <w:rsid w:val="00E40E9F"/>
    <w:pPr>
      <w:keepNext/>
      <w:numPr>
        <w:ilvl w:val="3"/>
        <w:numId w:val="2"/>
      </w:numPr>
      <w:suppressAutoHyphens/>
      <w:outlineLvl w:val="3"/>
    </w:pPr>
    <w:rPr>
      <w:rFonts w:ascii="Arial" w:hAnsi="Arial"/>
      <w:b/>
      <w:bCs/>
      <w:sz w:val="18"/>
      <w:szCs w:val="24"/>
    </w:rPr>
  </w:style>
  <w:style w:type="paragraph" w:styleId="Nadpis5">
    <w:name w:val="heading 5"/>
    <w:next w:val="text"/>
    <w:link w:val="Nadpis5Char"/>
    <w:uiPriority w:val="4"/>
    <w:qFormat/>
    <w:rsid w:val="00E40E9F"/>
    <w:pPr>
      <w:keepNext/>
      <w:numPr>
        <w:ilvl w:val="4"/>
        <w:numId w:val="2"/>
      </w:numPr>
      <w:suppressAutoHyphens/>
      <w:outlineLvl w:val="4"/>
    </w:pPr>
    <w:rPr>
      <w:rFonts w:ascii="Arial" w:hAnsi="Arial"/>
      <w:b/>
      <w:bCs/>
      <w:iCs/>
      <w:sz w:val="18"/>
      <w:szCs w:val="24"/>
    </w:rPr>
  </w:style>
  <w:style w:type="paragraph" w:styleId="Nadpis6">
    <w:name w:val="heading 6"/>
    <w:basedOn w:val="Normln"/>
    <w:next w:val="Normln"/>
    <w:uiPriority w:val="9"/>
    <w:qFormat/>
    <w:rsid w:val="00C732F1"/>
    <w:pPr>
      <w:numPr>
        <w:ilvl w:val="5"/>
        <w:numId w:val="2"/>
      </w:numPr>
      <w:spacing w:before="240" w:after="60"/>
      <w:outlineLvl w:val="5"/>
    </w:pPr>
    <w:rPr>
      <w:b w:val="0"/>
      <w:bCs/>
      <w:sz w:val="22"/>
      <w:szCs w:val="22"/>
    </w:rPr>
  </w:style>
  <w:style w:type="paragraph" w:styleId="Nadpis7">
    <w:name w:val="heading 7"/>
    <w:basedOn w:val="Normln"/>
    <w:next w:val="Normln"/>
    <w:uiPriority w:val="9"/>
    <w:qFormat/>
    <w:rsid w:val="00C732F1"/>
    <w:pPr>
      <w:numPr>
        <w:ilvl w:val="6"/>
        <w:numId w:val="2"/>
      </w:numPr>
      <w:spacing w:before="240" w:after="60"/>
      <w:outlineLvl w:val="6"/>
    </w:pPr>
  </w:style>
  <w:style w:type="paragraph" w:styleId="Nadpis8">
    <w:name w:val="heading 8"/>
    <w:basedOn w:val="Normln"/>
    <w:next w:val="Normln"/>
    <w:uiPriority w:val="9"/>
    <w:qFormat/>
    <w:rsid w:val="00C732F1"/>
    <w:pPr>
      <w:numPr>
        <w:ilvl w:val="7"/>
        <w:numId w:val="2"/>
      </w:numPr>
      <w:spacing w:before="240" w:after="60"/>
      <w:outlineLvl w:val="7"/>
    </w:pPr>
    <w:rPr>
      <w:i/>
      <w:iCs/>
    </w:rPr>
  </w:style>
  <w:style w:type="paragraph" w:styleId="Nadpis9">
    <w:name w:val="heading 9"/>
    <w:basedOn w:val="Normln"/>
    <w:next w:val="Normln"/>
    <w:uiPriority w:val="9"/>
    <w:qFormat/>
    <w:rsid w:val="00C732F1"/>
    <w:pPr>
      <w:numPr>
        <w:ilvl w:val="8"/>
        <w:numId w:val="2"/>
      </w:numPr>
      <w:spacing w:before="240" w:after="60"/>
      <w:outlineLvl w:val="8"/>
    </w:pPr>
    <w:rPr>
      <w:rFonts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link w:val="textChar2"/>
    <w:uiPriority w:val="5"/>
    <w:qFormat/>
    <w:rsid w:val="000318C5"/>
    <w:pPr>
      <w:tabs>
        <w:tab w:val="left" w:pos="567"/>
        <w:tab w:val="left" w:pos="1134"/>
        <w:tab w:val="left" w:pos="1701"/>
      </w:tabs>
      <w:suppressAutoHyphens/>
    </w:pPr>
    <w:rPr>
      <w:rFonts w:ascii="Arial" w:hAnsi="Arial" w:cs="Arial"/>
      <w:bCs/>
      <w:kern w:val="32"/>
      <w:sz w:val="18"/>
      <w:szCs w:val="24"/>
    </w:rPr>
  </w:style>
  <w:style w:type="character" w:customStyle="1" w:styleId="textChar2">
    <w:name w:val="text Char2"/>
    <w:link w:val="text"/>
    <w:uiPriority w:val="9"/>
    <w:rsid w:val="000318C5"/>
    <w:rPr>
      <w:rFonts w:ascii="Arial" w:hAnsi="Arial" w:cs="Arial"/>
      <w:bCs/>
      <w:kern w:val="32"/>
      <w:sz w:val="18"/>
      <w:szCs w:val="24"/>
      <w:lang w:val="cs-CZ" w:eastAsia="cs-CZ" w:bidi="ar-SA"/>
    </w:rPr>
  </w:style>
  <w:style w:type="character" w:customStyle="1" w:styleId="Nadpis2Char">
    <w:name w:val="Nadpis 2 Char"/>
    <w:link w:val="Nadpis2"/>
    <w:uiPriority w:val="1"/>
    <w:rsid w:val="00E40E9F"/>
    <w:rPr>
      <w:rFonts w:ascii="Arial" w:hAnsi="Arial" w:cs="Arial"/>
      <w:b/>
      <w:bCs/>
      <w:iCs/>
      <w:szCs w:val="28"/>
    </w:rPr>
  </w:style>
  <w:style w:type="paragraph" w:styleId="Obsah1">
    <w:name w:val="toc 1"/>
    <w:next w:val="Normln"/>
    <w:uiPriority w:val="39"/>
    <w:rsid w:val="008609FB"/>
    <w:pPr>
      <w:tabs>
        <w:tab w:val="right" w:pos="9356"/>
      </w:tabs>
      <w:spacing w:after="20"/>
      <w:jc w:val="both"/>
    </w:pPr>
    <w:rPr>
      <w:rFonts w:ascii="Arial" w:hAnsi="Arial"/>
      <w:b/>
      <w:caps/>
      <w:sz w:val="18"/>
      <w:szCs w:val="28"/>
    </w:rPr>
  </w:style>
  <w:style w:type="paragraph" w:styleId="Obsah2">
    <w:name w:val="toc 2"/>
    <w:next w:val="Normln"/>
    <w:uiPriority w:val="39"/>
    <w:rsid w:val="008609FB"/>
    <w:pPr>
      <w:tabs>
        <w:tab w:val="left" w:pos="624"/>
        <w:tab w:val="right" w:pos="9356"/>
      </w:tabs>
      <w:spacing w:after="20"/>
      <w:ind w:left="113"/>
      <w:jc w:val="both"/>
    </w:pPr>
    <w:rPr>
      <w:rFonts w:ascii="Arial" w:hAnsi="Arial"/>
      <w:sz w:val="18"/>
      <w:szCs w:val="24"/>
    </w:rPr>
  </w:style>
  <w:style w:type="paragraph" w:styleId="Obsah3">
    <w:name w:val="toc 3"/>
    <w:next w:val="Normln"/>
    <w:uiPriority w:val="39"/>
    <w:rsid w:val="008609FB"/>
    <w:pPr>
      <w:tabs>
        <w:tab w:val="left" w:pos="851"/>
        <w:tab w:val="right" w:pos="9356"/>
      </w:tabs>
      <w:spacing w:after="20"/>
      <w:ind w:left="227"/>
      <w:jc w:val="both"/>
    </w:pPr>
    <w:rPr>
      <w:rFonts w:ascii="Arial" w:hAnsi="Arial"/>
      <w:sz w:val="18"/>
      <w:szCs w:val="24"/>
    </w:rPr>
  </w:style>
  <w:style w:type="paragraph" w:styleId="Zhlav">
    <w:name w:val="header"/>
    <w:semiHidden/>
    <w:rsid w:val="008D20A5"/>
    <w:pPr>
      <w:tabs>
        <w:tab w:val="center" w:pos="4536"/>
        <w:tab w:val="right" w:pos="9072"/>
      </w:tabs>
      <w:jc w:val="center"/>
    </w:pPr>
    <w:rPr>
      <w:rFonts w:ascii="Arial" w:hAnsi="Arial"/>
      <w:szCs w:val="24"/>
    </w:rPr>
  </w:style>
  <w:style w:type="paragraph" w:styleId="Zpat">
    <w:name w:val="footer"/>
    <w:basedOn w:val="Normln"/>
    <w:semiHidden/>
    <w:pPr>
      <w:tabs>
        <w:tab w:val="center" w:pos="4536"/>
        <w:tab w:val="right" w:pos="9072"/>
      </w:tabs>
    </w:pPr>
    <w:rPr>
      <w:b w:val="0"/>
    </w:rPr>
  </w:style>
  <w:style w:type="paragraph" w:styleId="Obsah4">
    <w:name w:val="toc 4"/>
    <w:next w:val="Normln"/>
    <w:uiPriority w:val="39"/>
    <w:rsid w:val="008609FB"/>
    <w:pPr>
      <w:tabs>
        <w:tab w:val="left" w:pos="1304"/>
        <w:tab w:val="right" w:pos="9356"/>
      </w:tabs>
      <w:spacing w:after="20"/>
      <w:ind w:left="284"/>
      <w:jc w:val="both"/>
    </w:pPr>
    <w:rPr>
      <w:rFonts w:ascii="Arial" w:hAnsi="Arial" w:cs="Arial"/>
      <w:bCs/>
      <w:kern w:val="32"/>
      <w:sz w:val="18"/>
      <w:szCs w:val="24"/>
    </w:rPr>
  </w:style>
  <w:style w:type="paragraph" w:styleId="Obsah5">
    <w:name w:val="toc 5"/>
    <w:next w:val="Normln"/>
    <w:uiPriority w:val="39"/>
    <w:rsid w:val="008609FB"/>
    <w:pPr>
      <w:tabs>
        <w:tab w:val="left" w:pos="1531"/>
        <w:tab w:val="right" w:pos="9356"/>
      </w:tabs>
      <w:spacing w:after="20"/>
      <w:ind w:left="340"/>
      <w:jc w:val="both"/>
    </w:pPr>
    <w:rPr>
      <w:rFonts w:ascii="Arial" w:hAnsi="Arial"/>
      <w:sz w:val="18"/>
      <w:szCs w:val="24"/>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Rozvrendokumentu">
    <w:name w:val="Rozvržení dokumentu"/>
    <w:basedOn w:val="Normln"/>
    <w:semiHidden/>
    <w:pPr>
      <w:shd w:val="clear" w:color="auto" w:fill="000080"/>
    </w:pPr>
    <w:rPr>
      <w:rFonts w:ascii="Tahoma" w:hAnsi="Tahoma"/>
    </w:rPr>
  </w:style>
  <w:style w:type="paragraph" w:customStyle="1" w:styleId="Kapitola">
    <w:name w:val="Kapitola"/>
    <w:basedOn w:val="text"/>
    <w:next w:val="text"/>
    <w:link w:val="KapitolaChar"/>
    <w:qFormat/>
    <w:rsid w:val="00DF6065"/>
    <w:pPr>
      <w:keepNext/>
    </w:pPr>
    <w:rPr>
      <w:b/>
    </w:rPr>
  </w:style>
  <w:style w:type="paragraph" w:customStyle="1" w:styleId="Obrzek">
    <w:name w:val="Obrázek"/>
    <w:next w:val="text"/>
    <w:uiPriority w:val="8"/>
    <w:qFormat/>
    <w:rsid w:val="000318C5"/>
    <w:pPr>
      <w:numPr>
        <w:numId w:val="3"/>
      </w:numPr>
    </w:pPr>
    <w:rPr>
      <w:rFonts w:ascii="Arial" w:hAnsi="Arial"/>
      <w:b/>
      <w:bCs/>
      <w:i/>
      <w:iCs/>
      <w:sz w:val="18"/>
      <w:szCs w:val="24"/>
    </w:rPr>
  </w:style>
  <w:style w:type="paragraph" w:customStyle="1" w:styleId="odrky">
    <w:name w:val="odrážky"/>
    <w:qFormat/>
    <w:rsid w:val="00F207FC"/>
    <w:pPr>
      <w:numPr>
        <w:numId w:val="1"/>
      </w:numPr>
      <w:spacing w:after="20"/>
      <w:jc w:val="both"/>
    </w:pPr>
    <w:rPr>
      <w:rFonts w:ascii="Arial" w:hAnsi="Arial" w:cs="Arial"/>
      <w:bCs/>
      <w:iCs/>
      <w:sz w:val="18"/>
    </w:rPr>
  </w:style>
  <w:style w:type="character" w:styleId="Hypertextovodkaz">
    <w:name w:val="Hyperlink"/>
    <w:semiHidden/>
    <w:rsid w:val="004E2A21"/>
    <w:rPr>
      <w:color w:val="0000FF"/>
      <w:u w:val="single"/>
    </w:rPr>
  </w:style>
  <w:style w:type="table" w:styleId="Mkatabulky">
    <w:name w:val="Table Grid"/>
    <w:basedOn w:val="Normlntabulka"/>
    <w:rsid w:val="004D294F"/>
    <w:pPr>
      <w:jc w:val="center"/>
    </w:pPr>
    <w:rPr>
      <w:rFonts w:ascii="Tahoma" w:hAnsi="Tahom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 w:type="dxa"/>
        <w:right w:w="11" w:type="dxa"/>
      </w:tblCellMar>
    </w:tblPr>
    <w:tcPr>
      <w:vAlign w:val="center"/>
    </w:tcPr>
    <w:tblStylePr w:type="firstRow">
      <w:tblPr/>
      <w:tcPr>
        <w:shd w:val="clear" w:color="auto" w:fill="99CCFF"/>
      </w:tcPr>
    </w:tblStylePr>
  </w:style>
  <w:style w:type="paragraph" w:customStyle="1" w:styleId="Tabulka">
    <w:name w:val="Tabulka"/>
    <w:uiPriority w:val="9"/>
    <w:qFormat/>
    <w:rsid w:val="008A70CB"/>
    <w:pPr>
      <w:numPr>
        <w:numId w:val="4"/>
      </w:numPr>
    </w:pPr>
    <w:rPr>
      <w:rFonts w:ascii="Arial" w:hAnsi="Arial"/>
      <w:b/>
      <w:bCs/>
      <w:i/>
      <w:iCs/>
      <w:sz w:val="18"/>
      <w:szCs w:val="24"/>
    </w:rPr>
  </w:style>
  <w:style w:type="character" w:customStyle="1" w:styleId="Dokument">
    <w:name w:val="Dokument"/>
    <w:uiPriority w:val="11"/>
    <w:qFormat/>
    <w:rsid w:val="002B096D"/>
    <w:rPr>
      <w:rFonts w:ascii="Arial" w:hAnsi="Arial"/>
      <w:b/>
      <w:i/>
      <w:sz w:val="18"/>
    </w:rPr>
  </w:style>
  <w:style w:type="character" w:customStyle="1" w:styleId="Nadpis1Char">
    <w:name w:val="Nadpis 1 Char"/>
    <w:link w:val="Nadpis1"/>
    <w:rsid w:val="00F232C0"/>
    <w:rPr>
      <w:rFonts w:ascii="Arial" w:hAnsi="Arial" w:cs="Arial"/>
      <w:b/>
      <w:bCs/>
      <w:caps/>
      <w:kern w:val="32"/>
      <w:sz w:val="22"/>
      <w:szCs w:val="32"/>
    </w:rPr>
  </w:style>
  <w:style w:type="character" w:customStyle="1" w:styleId="Nadpis3Char">
    <w:name w:val="Nadpis 3 Char"/>
    <w:link w:val="Nadpis3"/>
    <w:uiPriority w:val="2"/>
    <w:rsid w:val="00F232C0"/>
    <w:rPr>
      <w:rFonts w:ascii="Arial" w:hAnsi="Arial" w:cs="Arial"/>
      <w:b/>
      <w:kern w:val="32"/>
      <w:szCs w:val="26"/>
    </w:rPr>
  </w:style>
  <w:style w:type="character" w:customStyle="1" w:styleId="Nadpis4Char">
    <w:name w:val="Nadpis 4 Char"/>
    <w:link w:val="Nadpis4"/>
    <w:uiPriority w:val="3"/>
    <w:rsid w:val="00F232C0"/>
    <w:rPr>
      <w:rFonts w:ascii="Arial" w:hAnsi="Arial"/>
      <w:b/>
      <w:bCs/>
      <w:sz w:val="18"/>
      <w:szCs w:val="24"/>
    </w:rPr>
  </w:style>
  <w:style w:type="character" w:customStyle="1" w:styleId="Nadpis5Char">
    <w:name w:val="Nadpis 5 Char"/>
    <w:link w:val="Nadpis5"/>
    <w:uiPriority w:val="4"/>
    <w:rsid w:val="00F232C0"/>
    <w:rPr>
      <w:rFonts w:ascii="Arial" w:hAnsi="Arial"/>
      <w:b/>
      <w:bCs/>
      <w:iCs/>
      <w:sz w:val="18"/>
      <w:szCs w:val="24"/>
    </w:rPr>
  </w:style>
  <w:style w:type="character" w:customStyle="1" w:styleId="KapitolaChar">
    <w:name w:val="Kapitola Char"/>
    <w:link w:val="Kapitola"/>
    <w:uiPriority w:val="5"/>
    <w:rsid w:val="00F232C0"/>
    <w:rPr>
      <w:rFonts w:ascii="Arial" w:hAnsi="Arial" w:cs="Arial"/>
      <w:b/>
      <w:bCs/>
      <w:kern w:val="32"/>
      <w:sz w:val="18"/>
      <w:szCs w:val="24"/>
    </w:rPr>
  </w:style>
  <w:style w:type="paragraph" w:styleId="Seznam">
    <w:name w:val="List"/>
    <w:link w:val="SeznamChar"/>
    <w:uiPriority w:val="6"/>
    <w:qFormat/>
    <w:rsid w:val="004D1DC4"/>
    <w:pPr>
      <w:numPr>
        <w:ilvl w:val="1"/>
        <w:numId w:val="5"/>
      </w:numPr>
      <w:contextualSpacing/>
      <w:jc w:val="both"/>
    </w:pPr>
    <w:rPr>
      <w:rFonts w:ascii="Arial" w:hAnsi="Arial" w:cs="Arial"/>
      <w:bCs/>
      <w:sz w:val="18"/>
    </w:rPr>
  </w:style>
  <w:style w:type="character" w:customStyle="1" w:styleId="SeznamChar">
    <w:name w:val="Seznam Char"/>
    <w:link w:val="Seznam"/>
    <w:uiPriority w:val="6"/>
    <w:rsid w:val="004D1DC4"/>
    <w:rPr>
      <w:rFonts w:ascii="Arial" w:hAnsi="Arial" w:cs="Arial"/>
      <w:bCs/>
      <w:sz w:val="18"/>
    </w:rPr>
  </w:style>
  <w:style w:type="character" w:customStyle="1" w:styleId="Pracmisto">
    <w:name w:val="Prac_misto"/>
    <w:uiPriority w:val="12"/>
    <w:qFormat/>
    <w:rsid w:val="002B096D"/>
    <w:rPr>
      <w:rFonts w:ascii="Arial" w:hAnsi="Arial"/>
      <w:b/>
      <w:sz w:val="18"/>
    </w:rPr>
  </w:style>
  <w:style w:type="character" w:customStyle="1" w:styleId="textChar">
    <w:name w:val="text Char"/>
    <w:uiPriority w:val="5"/>
    <w:rsid w:val="00181569"/>
    <w:rPr>
      <w:rFonts w:ascii="Arial" w:hAnsi="Arial"/>
      <w:bCs/>
      <w:kern w:val="32"/>
    </w:rPr>
  </w:style>
  <w:style w:type="paragraph" w:styleId="Textbubliny">
    <w:name w:val="Balloon Text"/>
    <w:basedOn w:val="Normln"/>
    <w:link w:val="TextbublinyChar"/>
    <w:uiPriority w:val="99"/>
    <w:semiHidden/>
    <w:unhideWhenUsed/>
    <w:rsid w:val="00BE0137"/>
    <w:rPr>
      <w:rFonts w:ascii="Tahoma" w:hAnsi="Tahoma" w:cs="Tahoma"/>
      <w:sz w:val="16"/>
      <w:szCs w:val="16"/>
    </w:rPr>
  </w:style>
  <w:style w:type="character" w:customStyle="1" w:styleId="TextbublinyChar">
    <w:name w:val="Text bubliny Char"/>
    <w:basedOn w:val="Standardnpsmoodstavce"/>
    <w:link w:val="Textbubliny"/>
    <w:uiPriority w:val="99"/>
    <w:semiHidden/>
    <w:rsid w:val="00BE0137"/>
    <w:rPr>
      <w:rFonts w:ascii="Tahoma" w:hAnsi="Tahoma" w:cs="Tahoma"/>
      <w:b/>
      <w:sz w:val="16"/>
      <w:szCs w:val="16"/>
    </w:rPr>
  </w:style>
  <w:style w:type="paragraph" w:customStyle="1" w:styleId="textCharChar">
    <w:name w:val="text Char Char"/>
    <w:link w:val="textCharCharChar"/>
    <w:rsid w:val="00185D9E"/>
    <w:pPr>
      <w:suppressAutoHyphens/>
      <w:spacing w:after="60"/>
      <w:jc w:val="both"/>
    </w:pPr>
    <w:rPr>
      <w:rFonts w:cs="Arial"/>
      <w:bCs/>
      <w:kern w:val="32"/>
      <w:sz w:val="24"/>
      <w:szCs w:val="24"/>
    </w:rPr>
  </w:style>
  <w:style w:type="character" w:customStyle="1" w:styleId="textCharCharChar">
    <w:name w:val="text Char Char Char"/>
    <w:basedOn w:val="Standardnpsmoodstavce"/>
    <w:link w:val="textCharChar"/>
    <w:rsid w:val="00185D9E"/>
    <w:rPr>
      <w:rFonts w:cs="Arial"/>
      <w:bCs/>
      <w:kern w:val="32"/>
      <w:sz w:val="24"/>
      <w:szCs w:val="24"/>
    </w:rPr>
  </w:style>
  <w:style w:type="paragraph" w:customStyle="1" w:styleId="Bod">
    <w:name w:val="Bod"/>
    <w:uiPriority w:val="8"/>
    <w:qFormat/>
    <w:rsid w:val="004915B3"/>
    <w:pPr>
      <w:numPr>
        <w:numId w:val="7"/>
      </w:numPr>
      <w:spacing w:after="20"/>
      <w:jc w:val="both"/>
    </w:pPr>
    <w:rPr>
      <w:rFonts w:ascii="Arial" w:hAnsi="Arial" w:cs="Arial"/>
      <w:bCs/>
      <w:kern w:val="3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CLOUD\01%20ZAKAZNICI\DIRS\06%20FORMUL&#193;&#344;E%20DIRS\C&#237;l,%20c&#237;lov&#225;%20hodnota%20a%20program%20IMS-v0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Cíl, cílová hodnota a program IMS-v01.dotx</Template>
  <TotalTime>106</TotalTime>
  <Pages>2</Pages>
  <Words>1154</Words>
  <Characters>6815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Cíl cílová hodnota a program IMS 20xxxxxx</vt:lpstr>
    </vt:vector>
  </TitlesOfParts>
  <Company>xxx</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podmínky IMS DIRS Brno</dc:title>
  <dc:creator>Bartoň František Q - COM, spol. s r.o.</dc:creator>
  <cp:lastModifiedBy>barton</cp:lastModifiedBy>
  <cp:revision>11</cp:revision>
  <cp:lastPrinted>2004-08-12T08:03:00Z</cp:lastPrinted>
  <dcterms:created xsi:type="dcterms:W3CDTF">2021-05-13T16:55:00Z</dcterms:created>
  <dcterms:modified xsi:type="dcterms:W3CDTF">2022-08-22T08:39:00Z</dcterms:modified>
</cp:coreProperties>
</file>